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A00" w:rsidRDefault="000F2A00" w:rsidP="006E4837">
      <w:pPr>
        <w:jc w:val="center"/>
        <w:rPr>
          <w:b/>
          <w:bCs/>
        </w:rPr>
      </w:pPr>
    </w:p>
    <w:p w:rsidR="00813404" w:rsidRDefault="006E4837" w:rsidP="006E4837">
      <w:pPr>
        <w:jc w:val="center"/>
        <w:rPr>
          <w:b/>
          <w:bCs/>
        </w:rPr>
      </w:pPr>
      <w:r w:rsidRPr="006E4837">
        <w:rPr>
          <w:b/>
          <w:bCs/>
        </w:rPr>
        <w:t>Antipsychotic Medication Quality Measure (AP</w:t>
      </w:r>
      <w:r w:rsidR="008505C1">
        <w:rPr>
          <w:b/>
          <w:bCs/>
        </w:rPr>
        <w:t xml:space="preserve"> </w:t>
      </w:r>
      <w:r w:rsidRPr="006E4837">
        <w:rPr>
          <w:b/>
          <w:bCs/>
        </w:rPr>
        <w:t>QM) for Nursing Homes (NH)</w:t>
      </w:r>
      <w:r w:rsidR="005B66D9">
        <w:rPr>
          <w:b/>
          <w:bCs/>
        </w:rPr>
        <w:br/>
      </w:r>
      <w:r w:rsidR="008505C1">
        <w:rPr>
          <w:b/>
          <w:bCs/>
        </w:rPr>
        <w:t>Technical Expert Pane</w:t>
      </w:r>
      <w:r w:rsidR="00677D7E">
        <w:rPr>
          <w:b/>
          <w:bCs/>
        </w:rPr>
        <w:t>l</w:t>
      </w:r>
      <w:r w:rsidR="008505C1">
        <w:rPr>
          <w:b/>
          <w:bCs/>
        </w:rPr>
        <w:t xml:space="preserve"> (</w:t>
      </w:r>
      <w:r w:rsidR="00813404">
        <w:rPr>
          <w:b/>
          <w:bCs/>
        </w:rPr>
        <w:t>TEP</w:t>
      </w:r>
      <w:r w:rsidR="008505C1">
        <w:rPr>
          <w:b/>
          <w:bCs/>
        </w:rPr>
        <w:t xml:space="preserve">) </w:t>
      </w:r>
    </w:p>
    <w:p w:rsidR="000F2A00" w:rsidRDefault="000F2A00" w:rsidP="006E4837">
      <w:pPr>
        <w:jc w:val="center"/>
        <w:rPr>
          <w:b/>
          <w:bCs/>
        </w:rPr>
      </w:pPr>
    </w:p>
    <w:p w:rsidR="00813404" w:rsidRDefault="006E4837" w:rsidP="006E4837">
      <w:pPr>
        <w:jc w:val="center"/>
        <w:rPr>
          <w:b/>
          <w:bCs/>
        </w:rPr>
      </w:pPr>
      <w:r>
        <w:rPr>
          <w:b/>
          <w:bCs/>
        </w:rPr>
        <w:t>September</w:t>
      </w:r>
      <w:r w:rsidR="00813404" w:rsidRPr="00813404">
        <w:rPr>
          <w:b/>
          <w:bCs/>
        </w:rPr>
        <w:t xml:space="preserve"> 1</w:t>
      </w:r>
      <w:bookmarkStart w:id="0" w:name="_GoBack"/>
      <w:bookmarkEnd w:id="0"/>
      <w:r>
        <w:rPr>
          <w:b/>
          <w:bCs/>
        </w:rPr>
        <w:t>3</w:t>
      </w:r>
      <w:r w:rsidR="00813404" w:rsidRPr="00813404">
        <w:rPr>
          <w:b/>
          <w:bCs/>
        </w:rPr>
        <w:t xml:space="preserve">, 2012 Webinar, </w:t>
      </w:r>
      <w:r>
        <w:rPr>
          <w:b/>
          <w:bCs/>
        </w:rPr>
        <w:t>9</w:t>
      </w:r>
      <w:r w:rsidR="00813404" w:rsidRPr="00813404">
        <w:rPr>
          <w:b/>
          <w:bCs/>
        </w:rPr>
        <w:t>-</w:t>
      </w:r>
      <w:r>
        <w:rPr>
          <w:b/>
          <w:bCs/>
        </w:rPr>
        <w:t>12</w:t>
      </w:r>
      <w:r w:rsidR="00813404" w:rsidRPr="00813404">
        <w:rPr>
          <w:b/>
          <w:bCs/>
        </w:rPr>
        <w:t xml:space="preserve"> pm EST</w:t>
      </w:r>
    </w:p>
    <w:p w:rsidR="000F2A00" w:rsidRDefault="000F2A00" w:rsidP="006E4837">
      <w:pPr>
        <w:jc w:val="center"/>
        <w:rPr>
          <w:b/>
          <w:bCs/>
        </w:rPr>
      </w:pPr>
    </w:p>
    <w:p w:rsidR="009C4F88" w:rsidRDefault="002D0DCE" w:rsidP="002D0DCE">
      <w:pPr>
        <w:jc w:val="center"/>
        <w:rPr>
          <w:b/>
          <w:bCs/>
        </w:rPr>
      </w:pPr>
      <w:r w:rsidRPr="002D0DCE">
        <w:rPr>
          <w:b/>
          <w:bCs/>
        </w:rPr>
        <w:t>Technical Expert Panel Recommendations Summary</w:t>
      </w:r>
    </w:p>
    <w:p w:rsidR="002D0DCE" w:rsidRDefault="002D0DCE" w:rsidP="002D0DCE">
      <w:pPr>
        <w:jc w:val="center"/>
        <w:rPr>
          <w:b/>
          <w:bCs/>
        </w:rPr>
      </w:pPr>
    </w:p>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95B3D7"/>
        <w:spacing w:before="240" w:after="120"/>
        <w:outlineLvl w:val="0"/>
        <w:rPr>
          <w:rFonts w:cs="Arial"/>
          <w:b/>
          <w:bCs/>
          <w:caps/>
          <w:szCs w:val="20"/>
        </w:rPr>
      </w:pPr>
      <w:bookmarkStart w:id="1" w:name="_Toc337735795"/>
      <w:r w:rsidRPr="008F32A4">
        <w:rPr>
          <w:rFonts w:cs="Arial"/>
          <w:b/>
          <w:bCs/>
          <w:caps/>
          <w:szCs w:val="20"/>
        </w:rPr>
        <w:t>Participant List</w:t>
      </w:r>
      <w:bookmarkEnd w:id="1"/>
    </w:p>
    <w:p w:rsidR="008F32A4" w:rsidRPr="008F32A4" w:rsidRDefault="008F32A4" w:rsidP="002D0DCE">
      <w:pPr>
        <w:keepNext/>
        <w:keepLines/>
        <w:spacing w:before="240" w:after="120"/>
        <w:rPr>
          <w:rFonts w:cs="Arial"/>
          <w:b/>
          <w:szCs w:val="20"/>
        </w:rPr>
      </w:pPr>
      <w:r w:rsidRPr="008F32A4">
        <w:rPr>
          <w:rFonts w:cs="Arial"/>
          <w:b/>
          <w:szCs w:val="20"/>
        </w:rPr>
        <w:t xml:space="preserve">Technical Experts </w:t>
      </w:r>
    </w:p>
    <w:p w:rsidR="008F32A4" w:rsidRPr="008F32A4" w:rsidRDefault="008F32A4" w:rsidP="008F32A4">
      <w:pPr>
        <w:spacing w:before="80" w:after="80"/>
        <w:ind w:left="720" w:hanging="360"/>
      </w:pPr>
      <w:r w:rsidRPr="008F32A4">
        <w:rPr>
          <w:b/>
          <w:szCs w:val="20"/>
        </w:rPr>
        <w:t xml:space="preserve">Carol </w:t>
      </w:r>
      <w:proofErr w:type="spellStart"/>
      <w:r w:rsidRPr="008F32A4">
        <w:rPr>
          <w:b/>
          <w:szCs w:val="20"/>
        </w:rPr>
        <w:t>Siem</w:t>
      </w:r>
      <w:proofErr w:type="spellEnd"/>
      <w:r w:rsidRPr="008F32A4">
        <w:rPr>
          <w:b/>
          <w:szCs w:val="20"/>
        </w:rPr>
        <w:t>, MSN, RN, BC, GNP</w:t>
      </w:r>
      <w:r w:rsidRPr="008F32A4">
        <w:t xml:space="preserve"> (</w:t>
      </w:r>
      <w:r w:rsidRPr="008F32A4">
        <w:rPr>
          <w:szCs w:val="20"/>
        </w:rPr>
        <w:t xml:space="preserve">University of </w:t>
      </w:r>
      <w:r w:rsidRPr="008F32A4">
        <w:t>Missouri</w:t>
      </w:r>
      <w:r w:rsidRPr="008F32A4">
        <w:rPr>
          <w:szCs w:val="20"/>
        </w:rPr>
        <w:t>–Columbia School of Nursing</w:t>
      </w:r>
      <w:r w:rsidRPr="008F32A4">
        <w:t>)</w:t>
      </w:r>
    </w:p>
    <w:p w:rsidR="008F32A4" w:rsidRPr="008F32A4" w:rsidRDefault="008F32A4" w:rsidP="008F32A4">
      <w:pPr>
        <w:spacing w:before="80" w:after="80"/>
        <w:ind w:left="720" w:hanging="360"/>
      </w:pPr>
      <w:r w:rsidRPr="008F32A4">
        <w:rPr>
          <w:b/>
          <w:szCs w:val="20"/>
        </w:rPr>
        <w:t>Toby Edelman, JD</w:t>
      </w:r>
      <w:r w:rsidRPr="008F32A4">
        <w:t xml:space="preserve"> (</w:t>
      </w:r>
      <w:r w:rsidRPr="008F32A4">
        <w:rPr>
          <w:szCs w:val="20"/>
        </w:rPr>
        <w:t>Center for Medicare Advocacy)</w:t>
      </w:r>
    </w:p>
    <w:p w:rsidR="008F32A4" w:rsidRPr="008F32A4" w:rsidRDefault="008F32A4" w:rsidP="008F32A4">
      <w:pPr>
        <w:spacing w:before="80" w:after="80"/>
        <w:ind w:left="720" w:hanging="360"/>
      </w:pPr>
      <w:r w:rsidRPr="008F32A4">
        <w:rPr>
          <w:b/>
          <w:szCs w:val="20"/>
        </w:rPr>
        <w:t>David Gifford, MD, MPH</w:t>
      </w:r>
      <w:r w:rsidRPr="008F32A4">
        <w:t xml:space="preserve"> (</w:t>
      </w:r>
      <w:r w:rsidRPr="008F32A4">
        <w:rPr>
          <w:szCs w:val="20"/>
        </w:rPr>
        <w:t>American Health Care Association)</w:t>
      </w:r>
    </w:p>
    <w:p w:rsidR="008F32A4" w:rsidRPr="008F32A4" w:rsidRDefault="008F32A4" w:rsidP="008F32A4">
      <w:pPr>
        <w:spacing w:before="80" w:after="80"/>
        <w:ind w:left="720" w:hanging="360"/>
      </w:pPr>
      <w:r w:rsidRPr="008F32A4">
        <w:rPr>
          <w:b/>
          <w:bCs/>
          <w:szCs w:val="20"/>
        </w:rPr>
        <w:t xml:space="preserve">Linda </w:t>
      </w:r>
      <w:proofErr w:type="spellStart"/>
      <w:r w:rsidRPr="008F32A4">
        <w:rPr>
          <w:b/>
          <w:bCs/>
          <w:szCs w:val="20"/>
        </w:rPr>
        <w:t>Simoni-Wastila</w:t>
      </w:r>
      <w:proofErr w:type="spellEnd"/>
      <w:r w:rsidRPr="008F32A4">
        <w:rPr>
          <w:b/>
          <w:bCs/>
          <w:szCs w:val="20"/>
        </w:rPr>
        <w:t xml:space="preserve">, </w:t>
      </w:r>
      <w:proofErr w:type="spellStart"/>
      <w:r w:rsidRPr="008F32A4">
        <w:rPr>
          <w:b/>
          <w:bCs/>
          <w:szCs w:val="20"/>
        </w:rPr>
        <w:t>BSPharm</w:t>
      </w:r>
      <w:proofErr w:type="spellEnd"/>
      <w:r w:rsidRPr="008F32A4">
        <w:rPr>
          <w:b/>
          <w:bCs/>
          <w:szCs w:val="20"/>
        </w:rPr>
        <w:t xml:space="preserve">, MSPH, PhD </w:t>
      </w:r>
      <w:r w:rsidRPr="008F32A4">
        <w:rPr>
          <w:szCs w:val="20"/>
        </w:rPr>
        <w:t>(University of Maryland School of Pharmacy)</w:t>
      </w:r>
    </w:p>
    <w:p w:rsidR="008F32A4" w:rsidRPr="008F32A4" w:rsidRDefault="008F32A4" w:rsidP="008F32A4">
      <w:pPr>
        <w:spacing w:before="80" w:after="80"/>
        <w:ind w:left="720" w:hanging="360"/>
      </w:pPr>
      <w:r w:rsidRPr="008F32A4">
        <w:rPr>
          <w:b/>
          <w:bCs/>
          <w:szCs w:val="20"/>
        </w:rPr>
        <w:t xml:space="preserve">Ryan </w:t>
      </w:r>
      <w:proofErr w:type="spellStart"/>
      <w:r w:rsidRPr="008F32A4">
        <w:rPr>
          <w:b/>
          <w:bCs/>
          <w:szCs w:val="20"/>
        </w:rPr>
        <w:t>Beddingfield</w:t>
      </w:r>
      <w:proofErr w:type="spellEnd"/>
      <w:r w:rsidRPr="008F32A4">
        <w:rPr>
          <w:b/>
          <w:bCs/>
          <w:szCs w:val="20"/>
        </w:rPr>
        <w:t xml:space="preserve"> </w:t>
      </w:r>
      <w:proofErr w:type="spellStart"/>
      <w:r w:rsidRPr="008F32A4">
        <w:rPr>
          <w:b/>
          <w:bCs/>
          <w:szCs w:val="20"/>
        </w:rPr>
        <w:t>RPh</w:t>
      </w:r>
      <w:proofErr w:type="spellEnd"/>
      <w:r w:rsidRPr="008F32A4">
        <w:rPr>
          <w:b/>
          <w:bCs/>
          <w:szCs w:val="20"/>
        </w:rPr>
        <w:t xml:space="preserve"> CGP</w:t>
      </w:r>
      <w:r w:rsidRPr="008F32A4">
        <w:t xml:space="preserve"> (</w:t>
      </w:r>
      <w:r w:rsidRPr="008F32A4">
        <w:rPr>
          <w:szCs w:val="20"/>
        </w:rPr>
        <w:t>UHS-Pruitt Corporation</w:t>
      </w:r>
      <w:r w:rsidRPr="008F32A4">
        <w:t>)</w:t>
      </w:r>
    </w:p>
    <w:p w:rsidR="008F32A4" w:rsidRPr="008F32A4" w:rsidRDefault="008F32A4" w:rsidP="008F32A4">
      <w:pPr>
        <w:spacing w:before="80" w:after="80"/>
        <w:ind w:left="720" w:hanging="360"/>
      </w:pPr>
      <w:r w:rsidRPr="008F32A4">
        <w:rPr>
          <w:b/>
          <w:bCs/>
          <w:szCs w:val="20"/>
        </w:rPr>
        <w:t xml:space="preserve">Keith </w:t>
      </w:r>
      <w:proofErr w:type="spellStart"/>
      <w:r w:rsidRPr="008F32A4">
        <w:rPr>
          <w:b/>
          <w:bCs/>
          <w:szCs w:val="20"/>
        </w:rPr>
        <w:t>Krein</w:t>
      </w:r>
      <w:proofErr w:type="spellEnd"/>
      <w:r w:rsidRPr="008F32A4">
        <w:rPr>
          <w:b/>
          <w:bCs/>
          <w:szCs w:val="20"/>
        </w:rPr>
        <w:t xml:space="preserve"> MD, CMD (</w:t>
      </w:r>
      <w:r w:rsidRPr="008F32A4">
        <w:rPr>
          <w:szCs w:val="20"/>
        </w:rPr>
        <w:t>Kindred Healthcare, NCD)</w:t>
      </w:r>
    </w:p>
    <w:p w:rsidR="008F32A4" w:rsidRPr="008F32A4" w:rsidRDefault="008F32A4" w:rsidP="008F32A4">
      <w:pPr>
        <w:spacing w:before="80" w:after="80"/>
        <w:ind w:left="720" w:hanging="360"/>
      </w:pPr>
      <w:proofErr w:type="spellStart"/>
      <w:r w:rsidRPr="008F32A4">
        <w:rPr>
          <w:b/>
          <w:bCs/>
          <w:szCs w:val="20"/>
        </w:rPr>
        <w:t>Teepa</w:t>
      </w:r>
      <w:proofErr w:type="spellEnd"/>
      <w:r w:rsidRPr="008F32A4">
        <w:rPr>
          <w:b/>
          <w:bCs/>
          <w:szCs w:val="20"/>
        </w:rPr>
        <w:t xml:space="preserve"> L. Snow, MS, OTR/L, FAOTA</w:t>
      </w:r>
      <w:r w:rsidRPr="008F32A4">
        <w:rPr>
          <w:szCs w:val="20"/>
        </w:rPr>
        <w:t xml:space="preserve"> </w:t>
      </w:r>
      <w:r w:rsidRPr="008F32A4">
        <w:t>(</w:t>
      </w:r>
      <w:r w:rsidRPr="008F32A4">
        <w:rPr>
          <w:szCs w:val="20"/>
        </w:rPr>
        <w:t>Positive Approach, LLC</w:t>
      </w:r>
      <w:r w:rsidRPr="008F32A4">
        <w:t>)</w:t>
      </w:r>
    </w:p>
    <w:p w:rsidR="008F32A4" w:rsidRPr="008F32A4" w:rsidRDefault="008F32A4" w:rsidP="008F32A4">
      <w:pPr>
        <w:spacing w:before="80" w:after="80"/>
        <w:ind w:left="720" w:hanging="360"/>
      </w:pPr>
      <w:r w:rsidRPr="008F32A4">
        <w:rPr>
          <w:b/>
          <w:bCs/>
          <w:szCs w:val="20"/>
        </w:rPr>
        <w:t xml:space="preserve">Todd P. </w:t>
      </w:r>
      <w:proofErr w:type="spellStart"/>
      <w:r w:rsidRPr="008F32A4">
        <w:rPr>
          <w:b/>
          <w:bCs/>
          <w:szCs w:val="20"/>
        </w:rPr>
        <w:t>Semla</w:t>
      </w:r>
      <w:proofErr w:type="spellEnd"/>
      <w:r w:rsidRPr="008F32A4">
        <w:rPr>
          <w:b/>
          <w:bCs/>
          <w:szCs w:val="20"/>
        </w:rPr>
        <w:t xml:space="preserve">, MS, </w:t>
      </w:r>
      <w:proofErr w:type="spellStart"/>
      <w:r w:rsidRPr="008F32A4">
        <w:rPr>
          <w:b/>
          <w:bCs/>
          <w:szCs w:val="20"/>
        </w:rPr>
        <w:t>PharmD</w:t>
      </w:r>
      <w:proofErr w:type="spellEnd"/>
      <w:r w:rsidRPr="008F32A4">
        <w:rPr>
          <w:b/>
          <w:bCs/>
          <w:szCs w:val="20"/>
        </w:rPr>
        <w:t xml:space="preserve">, BCPS, FCCP, AGS </w:t>
      </w:r>
      <w:r w:rsidRPr="008F32A4">
        <w:rPr>
          <w:szCs w:val="20"/>
        </w:rPr>
        <w:t>(Feinberg School of Medicine, Northwestern University)</w:t>
      </w:r>
    </w:p>
    <w:p w:rsidR="008F32A4" w:rsidRPr="008F32A4" w:rsidRDefault="008F32A4" w:rsidP="008F32A4">
      <w:pPr>
        <w:spacing w:before="80" w:after="80"/>
        <w:ind w:left="720" w:hanging="360"/>
      </w:pPr>
      <w:r w:rsidRPr="008F32A4">
        <w:rPr>
          <w:b/>
          <w:bCs/>
          <w:szCs w:val="20"/>
        </w:rPr>
        <w:t>Stacey Merritt Rose, LNHA, MCD, CCC-SLP</w:t>
      </w:r>
      <w:r w:rsidRPr="008F32A4">
        <w:t>(</w:t>
      </w:r>
      <w:proofErr w:type="spellStart"/>
      <w:r w:rsidRPr="008F32A4">
        <w:rPr>
          <w:szCs w:val="20"/>
        </w:rPr>
        <w:t>SavaSeniorCare</w:t>
      </w:r>
      <w:proofErr w:type="spellEnd"/>
      <w:r w:rsidRPr="008F32A4">
        <w:rPr>
          <w:szCs w:val="20"/>
        </w:rPr>
        <w:t xml:space="preserve"> Consulting, LLC</w:t>
      </w:r>
      <w:r w:rsidRPr="008F32A4">
        <w:t>)</w:t>
      </w:r>
    </w:p>
    <w:p w:rsidR="008F32A4" w:rsidRPr="008F32A4" w:rsidRDefault="008F32A4" w:rsidP="008F32A4">
      <w:pPr>
        <w:spacing w:before="80" w:after="80"/>
        <w:ind w:left="720" w:hanging="360"/>
        <w:rPr>
          <w:b/>
          <w:szCs w:val="20"/>
        </w:rPr>
      </w:pPr>
      <w:r w:rsidRPr="008F32A4">
        <w:rPr>
          <w:b/>
          <w:szCs w:val="20"/>
        </w:rPr>
        <w:t xml:space="preserve">Elizabeth M. </w:t>
      </w:r>
      <w:proofErr w:type="spellStart"/>
      <w:r w:rsidRPr="008F32A4">
        <w:rPr>
          <w:b/>
          <w:szCs w:val="20"/>
        </w:rPr>
        <w:t>Galik</w:t>
      </w:r>
      <w:proofErr w:type="spellEnd"/>
      <w:r w:rsidRPr="008F32A4">
        <w:rPr>
          <w:b/>
          <w:szCs w:val="20"/>
        </w:rPr>
        <w:t xml:space="preserve"> RN, PhD, CRNP </w:t>
      </w:r>
      <w:r w:rsidRPr="008F32A4">
        <w:rPr>
          <w:szCs w:val="20"/>
        </w:rPr>
        <w:t>(University of Maryland School of Nursing)</w:t>
      </w:r>
    </w:p>
    <w:p w:rsidR="008F32A4" w:rsidRPr="008F32A4" w:rsidRDefault="008F32A4" w:rsidP="008F32A4">
      <w:pPr>
        <w:spacing w:before="80" w:after="80"/>
        <w:ind w:left="720" w:hanging="360"/>
      </w:pPr>
      <w:r w:rsidRPr="008F32A4">
        <w:rPr>
          <w:b/>
          <w:szCs w:val="20"/>
        </w:rPr>
        <w:t xml:space="preserve">Michael Connors </w:t>
      </w:r>
      <w:r w:rsidRPr="008F32A4">
        <w:t>(</w:t>
      </w:r>
      <w:r w:rsidRPr="008F32A4">
        <w:rPr>
          <w:szCs w:val="20"/>
        </w:rPr>
        <w:t>California Advocates for Nursing Home Reform</w:t>
      </w:r>
      <w:r w:rsidRPr="008F32A4">
        <w:t>)</w:t>
      </w:r>
    </w:p>
    <w:p w:rsidR="008F32A4" w:rsidRPr="008F32A4" w:rsidRDefault="008F32A4" w:rsidP="008F32A4">
      <w:pPr>
        <w:keepNext/>
        <w:keepLines/>
        <w:spacing w:before="240" w:after="120"/>
        <w:rPr>
          <w:rFonts w:cs="Arial"/>
          <w:b/>
          <w:szCs w:val="20"/>
        </w:rPr>
      </w:pPr>
      <w:r w:rsidRPr="008F32A4">
        <w:rPr>
          <w:rFonts w:cs="Arial"/>
          <w:b/>
          <w:szCs w:val="20"/>
        </w:rPr>
        <w:t>RTI International</w:t>
      </w:r>
    </w:p>
    <w:p w:rsidR="008F32A4" w:rsidRPr="008F32A4" w:rsidRDefault="008F32A4" w:rsidP="008F32A4">
      <w:pPr>
        <w:spacing w:before="80" w:after="80"/>
        <w:ind w:left="720" w:hanging="360"/>
        <w:rPr>
          <w:szCs w:val="20"/>
        </w:rPr>
      </w:pPr>
      <w:r w:rsidRPr="008F32A4">
        <w:rPr>
          <w:szCs w:val="20"/>
        </w:rPr>
        <w:t>Karen Reilly, ScD, Project Director (kreilly@rti.org)</w:t>
      </w:r>
    </w:p>
    <w:p w:rsidR="008F32A4" w:rsidRPr="008F32A4" w:rsidRDefault="008F32A4" w:rsidP="008F32A4">
      <w:pPr>
        <w:spacing w:before="80" w:after="80"/>
        <w:ind w:left="720" w:hanging="360"/>
        <w:rPr>
          <w:szCs w:val="20"/>
        </w:rPr>
      </w:pPr>
      <w:r w:rsidRPr="008F32A4">
        <w:rPr>
          <w:szCs w:val="20"/>
        </w:rPr>
        <w:t>Laura Smith, PhD, Associate Project Director (lsmith@rti.org)</w:t>
      </w:r>
    </w:p>
    <w:p w:rsidR="008F32A4" w:rsidRPr="008F32A4" w:rsidRDefault="008F32A4" w:rsidP="008F32A4">
      <w:pPr>
        <w:spacing w:before="80" w:after="80"/>
        <w:ind w:left="720" w:hanging="360"/>
        <w:rPr>
          <w:szCs w:val="20"/>
        </w:rPr>
      </w:pPr>
      <w:r w:rsidRPr="008F32A4">
        <w:rPr>
          <w:szCs w:val="20"/>
        </w:rPr>
        <w:t xml:space="preserve">Nan </w:t>
      </w:r>
      <w:r w:rsidR="00461F81">
        <w:rPr>
          <w:szCs w:val="20"/>
        </w:rPr>
        <w:t>Tracy Zheng, PhD, AP Task Leader</w:t>
      </w:r>
      <w:r w:rsidRPr="008F32A4">
        <w:rPr>
          <w:szCs w:val="20"/>
        </w:rPr>
        <w:t xml:space="preserve"> (ntzheng@rti.org)</w:t>
      </w:r>
    </w:p>
    <w:p w:rsidR="008F32A4" w:rsidRPr="008F32A4" w:rsidRDefault="008F32A4" w:rsidP="008F32A4">
      <w:pPr>
        <w:spacing w:before="80" w:after="80"/>
        <w:ind w:left="720" w:hanging="360"/>
        <w:rPr>
          <w:szCs w:val="20"/>
        </w:rPr>
      </w:pPr>
      <w:r w:rsidRPr="008F32A4">
        <w:rPr>
          <w:szCs w:val="20"/>
        </w:rPr>
        <w:t>Laurie Coots, MS (lcoots@rti.org)</w:t>
      </w:r>
    </w:p>
    <w:p w:rsidR="008F32A4" w:rsidRPr="008F32A4" w:rsidRDefault="008F32A4" w:rsidP="008F32A4">
      <w:pPr>
        <w:spacing w:before="80" w:after="80"/>
        <w:ind w:left="720" w:hanging="360"/>
        <w:rPr>
          <w:szCs w:val="20"/>
        </w:rPr>
      </w:pPr>
      <w:r w:rsidRPr="008F32A4">
        <w:rPr>
          <w:szCs w:val="20"/>
        </w:rPr>
        <w:t>Rajiv Ramakrishnan, BA(ramakrishnan@rti.org)</w:t>
      </w:r>
    </w:p>
    <w:p w:rsidR="008F32A4" w:rsidRPr="008F32A4" w:rsidRDefault="008F32A4" w:rsidP="008F32A4">
      <w:pPr>
        <w:spacing w:before="80" w:after="80"/>
        <w:ind w:left="720" w:hanging="360"/>
        <w:rPr>
          <w:szCs w:val="20"/>
        </w:rPr>
      </w:pPr>
      <w:r w:rsidRPr="008F32A4">
        <w:rPr>
          <w:szCs w:val="20"/>
        </w:rPr>
        <w:t>Joshua Manning, BS (jmanning@rti.org)</w:t>
      </w:r>
    </w:p>
    <w:p w:rsidR="008F32A4" w:rsidRPr="008F32A4" w:rsidRDefault="008F32A4" w:rsidP="008F32A4">
      <w:pPr>
        <w:keepNext/>
        <w:keepLines/>
        <w:spacing w:before="240" w:after="120"/>
        <w:rPr>
          <w:rFonts w:cs="Arial"/>
          <w:b/>
          <w:szCs w:val="20"/>
        </w:rPr>
      </w:pPr>
      <w:r w:rsidRPr="008F32A4">
        <w:rPr>
          <w:rFonts w:cs="Arial"/>
          <w:b/>
          <w:szCs w:val="20"/>
        </w:rPr>
        <w:t>CMS</w:t>
      </w:r>
    </w:p>
    <w:p w:rsidR="008F32A4" w:rsidRPr="008F32A4" w:rsidRDefault="008F32A4" w:rsidP="008F32A4">
      <w:pPr>
        <w:spacing w:before="80" w:after="80"/>
        <w:ind w:left="720" w:hanging="360"/>
        <w:rPr>
          <w:szCs w:val="20"/>
        </w:rPr>
      </w:pPr>
      <w:r w:rsidRPr="008F32A4">
        <w:rPr>
          <w:szCs w:val="20"/>
        </w:rPr>
        <w:t>Cheryl Wiseman, MPH, MS, CCSQ, GTL</w:t>
      </w:r>
    </w:p>
    <w:p w:rsidR="008F32A4" w:rsidRPr="008F32A4" w:rsidRDefault="008F32A4" w:rsidP="008F32A4">
      <w:pPr>
        <w:spacing w:before="80" w:after="80"/>
        <w:ind w:left="720" w:hanging="360"/>
      </w:pPr>
      <w:r w:rsidRPr="008F32A4">
        <w:rPr>
          <w:szCs w:val="20"/>
        </w:rPr>
        <w:t>Mary Pratt, MS, RN, Director, DCPAC</w:t>
      </w:r>
      <w:r w:rsidRPr="008F32A4">
        <w:t>, CCSQ</w:t>
      </w:r>
    </w:p>
    <w:p w:rsidR="008F32A4" w:rsidRPr="008F32A4" w:rsidRDefault="008F32A4" w:rsidP="008F32A4">
      <w:pPr>
        <w:spacing w:before="80" w:after="80"/>
        <w:ind w:left="720" w:hanging="360"/>
      </w:pPr>
      <w:r w:rsidRPr="008F32A4">
        <w:rPr>
          <w:szCs w:val="20"/>
        </w:rPr>
        <w:t>Alice Bonner, PhD, RN Director, DNH, CCSQ</w:t>
      </w:r>
    </w:p>
    <w:p w:rsidR="008F32A4" w:rsidRPr="008F32A4" w:rsidRDefault="008F32A4" w:rsidP="008F32A4">
      <w:pPr>
        <w:spacing w:before="80" w:after="80"/>
        <w:ind w:left="720" w:hanging="360"/>
      </w:pPr>
      <w:r w:rsidRPr="008F32A4">
        <w:lastRenderedPageBreak/>
        <w:t>Tara McMullen, MPH, PhD(c), CCSQ</w:t>
      </w:r>
    </w:p>
    <w:p w:rsidR="008F32A4" w:rsidRPr="008F32A4" w:rsidRDefault="008F32A4" w:rsidP="008F32A4">
      <w:pPr>
        <w:spacing w:before="80" w:after="80"/>
        <w:ind w:left="720" w:hanging="360"/>
      </w:pPr>
      <w:r w:rsidRPr="008F32A4">
        <w:rPr>
          <w:szCs w:val="20"/>
        </w:rPr>
        <w:t>Edward Mortimore, PhD, CCSQ</w:t>
      </w:r>
    </w:p>
    <w:p w:rsidR="002D0DCE" w:rsidRDefault="008F32A4" w:rsidP="008F32A4">
      <w:pPr>
        <w:spacing w:before="80" w:after="80"/>
        <w:ind w:left="720" w:hanging="360"/>
        <w:rPr>
          <w:szCs w:val="20"/>
        </w:rPr>
      </w:pPr>
      <w:r w:rsidRPr="008F32A4">
        <w:rPr>
          <w:szCs w:val="20"/>
        </w:rPr>
        <w:t>Ian Kramer, CCSQ</w:t>
      </w:r>
    </w:p>
    <w:p w:rsidR="002D0DCE" w:rsidRDefault="002D0DCE">
      <w:pPr>
        <w:rPr>
          <w:szCs w:val="20"/>
        </w:rPr>
      </w:pPr>
      <w:r>
        <w:rPr>
          <w:szCs w:val="20"/>
        </w:rPr>
        <w:br w:type="page"/>
      </w:r>
    </w:p>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95B3D7"/>
        <w:spacing w:before="240" w:after="120"/>
        <w:outlineLvl w:val="0"/>
        <w:rPr>
          <w:rFonts w:cs="Arial"/>
          <w:b/>
          <w:bCs/>
          <w:caps/>
          <w:szCs w:val="20"/>
        </w:rPr>
      </w:pPr>
      <w:bookmarkStart w:id="2" w:name="_Toc337735796"/>
      <w:r w:rsidRPr="008F32A4">
        <w:rPr>
          <w:rFonts w:cs="Arial"/>
          <w:b/>
          <w:bCs/>
          <w:caps/>
          <w:szCs w:val="20"/>
        </w:rPr>
        <w:lastRenderedPageBreak/>
        <w:t>Technical Expert Panel Recommendations Summary</w:t>
      </w:r>
      <w:bookmarkEnd w:id="2"/>
    </w:p>
    <w:p w:rsidR="008F32A4" w:rsidRPr="008F32A4" w:rsidRDefault="008F32A4" w:rsidP="008F32A4">
      <w:pPr>
        <w:rPr>
          <w:rFonts w:cs="Arial"/>
          <w:szCs w:val="20"/>
        </w:rPr>
      </w:pPr>
    </w:p>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DBE5F1"/>
        <w:spacing w:before="360" w:after="120"/>
        <w:outlineLvl w:val="1"/>
        <w:rPr>
          <w:rFonts w:cs="Arial"/>
          <w:b/>
          <w:caps/>
          <w:szCs w:val="20"/>
        </w:rPr>
      </w:pPr>
      <w:bookmarkStart w:id="3" w:name="_Toc337735797"/>
      <w:r w:rsidRPr="008F32A4">
        <w:rPr>
          <w:rFonts w:cs="Arial"/>
          <w:b/>
          <w:caps/>
          <w:szCs w:val="20"/>
        </w:rPr>
        <w:t>Issue 1:  Defining Appropriate Denominator Exclusions</w:t>
      </w:r>
      <w:bookmarkEnd w:id="3"/>
    </w:p>
    <w:p w:rsidR="008F32A4" w:rsidRPr="009732EB" w:rsidRDefault="008F32A4" w:rsidP="009732EB">
      <w:pPr>
        <w:pStyle w:val="ListParagraph"/>
        <w:keepNext/>
        <w:numPr>
          <w:ilvl w:val="0"/>
          <w:numId w:val="40"/>
        </w:numPr>
        <w:spacing w:before="80" w:after="80"/>
        <w:ind w:left="720"/>
        <w:rPr>
          <w:szCs w:val="20"/>
        </w:rPr>
      </w:pPr>
      <w:r w:rsidRPr="009732EB">
        <w:rPr>
          <w:szCs w:val="20"/>
        </w:rPr>
        <w:t>What are the appropriate denominator exclusions for this measure?  The NH long-stay and short-stay AP QM specifications exclude schizophrenia, Tourette’s syndrome and Huntington’s disease.  Should other exclusions be considered, for example, the additional exclusions specified in the quality indicator currently used in the survey process—bipolar and psychotic disorder?</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9732EB">
        <w:trPr>
          <w:cantSplit/>
          <w:trHeight w:val="8000"/>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The majority of TEP members supported excluding residents with bipolar disorder. TEP comments state the reasons for adding bipolar as exclusion are:</w:t>
            </w:r>
          </w:p>
          <w:p w:rsidR="008F32A4" w:rsidRPr="009732EB" w:rsidRDefault="008F32A4" w:rsidP="009732EB">
            <w:pPr>
              <w:pStyle w:val="ListParagraph"/>
              <w:numPr>
                <w:ilvl w:val="0"/>
                <w:numId w:val="40"/>
              </w:numPr>
              <w:spacing w:before="80" w:after="80"/>
              <w:rPr>
                <w:b/>
                <w:bCs/>
                <w:sz w:val="22"/>
              </w:rPr>
            </w:pPr>
            <w:r w:rsidRPr="009732EB">
              <w:rPr>
                <w:b/>
                <w:bCs/>
                <w:sz w:val="22"/>
              </w:rPr>
              <w:t>Bipolar is an FDA-approved clinical indication for Antipsychotic medications. The use of Antipsychotics among residents with bipolar disorder should not be indicative of poor quality.</w:t>
            </w:r>
          </w:p>
          <w:p w:rsidR="008F32A4" w:rsidRPr="009732EB" w:rsidRDefault="008F32A4" w:rsidP="009732EB">
            <w:pPr>
              <w:pStyle w:val="ListParagraph"/>
              <w:numPr>
                <w:ilvl w:val="0"/>
                <w:numId w:val="40"/>
              </w:numPr>
              <w:spacing w:before="80" w:after="80"/>
              <w:rPr>
                <w:b/>
                <w:bCs/>
                <w:sz w:val="22"/>
              </w:rPr>
            </w:pPr>
            <w:r w:rsidRPr="009732EB">
              <w:rPr>
                <w:b/>
                <w:bCs/>
                <w:sz w:val="22"/>
              </w:rPr>
              <w:t>Failure to exclude residents with bipolar disorder from the AP QM is inconsistent with the current exclusion of residents with schizophrenia, Tourette’s and Huntington’s which are also FDA-approved clinical indications for Antipsychotics.</w:t>
            </w:r>
          </w:p>
          <w:p w:rsidR="008F32A4" w:rsidRPr="009732EB" w:rsidRDefault="008F32A4" w:rsidP="009732EB">
            <w:pPr>
              <w:pStyle w:val="ListParagraph"/>
              <w:numPr>
                <w:ilvl w:val="0"/>
                <w:numId w:val="40"/>
              </w:numPr>
              <w:spacing w:before="80" w:after="80"/>
              <w:rPr>
                <w:b/>
                <w:bCs/>
                <w:sz w:val="22"/>
              </w:rPr>
            </w:pPr>
            <w:r w:rsidRPr="009732EB">
              <w:rPr>
                <w:b/>
                <w:bCs/>
                <w:sz w:val="22"/>
              </w:rPr>
              <w:t>If residents with bipolar disorder were not excluded, NHs caring for residents with bipolar disorder stabilized by Antipsychotics may be penalized. This risk may be a</w:t>
            </w:r>
            <w:r w:rsidR="008F5472" w:rsidRPr="009732EB">
              <w:rPr>
                <w:b/>
                <w:bCs/>
                <w:sz w:val="22"/>
              </w:rPr>
              <w:t xml:space="preserve"> disincentive for NHs to admit prospective</w:t>
            </w:r>
            <w:r w:rsidRPr="009732EB">
              <w:rPr>
                <w:b/>
                <w:bCs/>
                <w:sz w:val="22"/>
              </w:rPr>
              <w:t xml:space="preserve"> residents with bipolar disorder who were stabilized by Antipsychotics.</w:t>
            </w:r>
          </w:p>
          <w:p w:rsidR="008F32A4" w:rsidRPr="008F32A4" w:rsidRDefault="008F32A4" w:rsidP="008F32A4">
            <w:pPr>
              <w:spacing w:before="120" w:after="120"/>
              <w:rPr>
                <w:b/>
                <w:sz w:val="22"/>
                <w:szCs w:val="20"/>
                <w:lang w:bidi="en-US"/>
              </w:rPr>
            </w:pPr>
            <w:r w:rsidRPr="008F32A4">
              <w:rPr>
                <w:b/>
                <w:sz w:val="22"/>
                <w:szCs w:val="20"/>
                <w:lang w:bidi="en-US"/>
              </w:rPr>
              <w:t>A few TEP members voiced concerns about adding bipolar as exclusion. These include:</w:t>
            </w:r>
          </w:p>
          <w:p w:rsidR="008F32A4" w:rsidRPr="009732EB" w:rsidRDefault="008F32A4" w:rsidP="009732EB">
            <w:pPr>
              <w:pStyle w:val="ListParagraph"/>
              <w:numPr>
                <w:ilvl w:val="0"/>
                <w:numId w:val="40"/>
              </w:numPr>
              <w:spacing w:before="80" w:after="80"/>
              <w:rPr>
                <w:b/>
                <w:bCs/>
                <w:sz w:val="22"/>
              </w:rPr>
            </w:pPr>
            <w:r w:rsidRPr="009732EB">
              <w:rPr>
                <w:b/>
                <w:bCs/>
                <w:sz w:val="22"/>
              </w:rPr>
              <w:t>NHs may inappropriately add bipolar disorder to a resident’ MDS assessment to justify the use of Antipsychotics (unintended consequence).</w:t>
            </w:r>
          </w:p>
          <w:p w:rsidR="008F32A4" w:rsidRPr="009732EB" w:rsidRDefault="008F32A4" w:rsidP="009732EB">
            <w:pPr>
              <w:pStyle w:val="ListParagraph"/>
              <w:numPr>
                <w:ilvl w:val="0"/>
                <w:numId w:val="40"/>
              </w:numPr>
              <w:spacing w:before="80" w:after="80"/>
              <w:rPr>
                <w:b/>
                <w:bCs/>
                <w:sz w:val="22"/>
              </w:rPr>
            </w:pPr>
            <w:r w:rsidRPr="009732EB">
              <w:rPr>
                <w:b/>
                <w:bCs/>
                <w:sz w:val="22"/>
              </w:rPr>
              <w:t>QM specifications that exclude residents with bipolar disorder would not be sufficiently transparent to inform consumers about the use of Antipsychotics among this population.</w:t>
            </w:r>
          </w:p>
          <w:p w:rsidR="008F32A4" w:rsidRPr="009732EB" w:rsidRDefault="008F32A4" w:rsidP="009732EB">
            <w:pPr>
              <w:pStyle w:val="ListParagraph"/>
              <w:numPr>
                <w:ilvl w:val="0"/>
                <w:numId w:val="40"/>
              </w:numPr>
              <w:spacing w:before="80" w:after="80"/>
              <w:rPr>
                <w:b/>
                <w:bCs/>
                <w:sz w:val="22"/>
              </w:rPr>
            </w:pPr>
            <w:r w:rsidRPr="009732EB">
              <w:rPr>
                <w:b/>
                <w:bCs/>
                <w:sz w:val="22"/>
              </w:rPr>
              <w:t>Antipsychotics may be inappropriately initiated for residents with long-standing bipolar disorder when a secondary diagnosis of dementia was added. AP QM specifications that exclude residents with bipolar disorder do not capture potentially inappropriate AP use among residents with a secondary diagnosis of dementia.</w:t>
            </w:r>
          </w:p>
          <w:p w:rsidR="008F32A4" w:rsidRPr="009732EB" w:rsidRDefault="008F32A4" w:rsidP="009732EB">
            <w:pPr>
              <w:pStyle w:val="ListParagraph"/>
              <w:numPr>
                <w:ilvl w:val="0"/>
                <w:numId w:val="40"/>
              </w:numPr>
              <w:spacing w:before="80" w:after="80"/>
              <w:rPr>
                <w:b/>
                <w:bCs/>
                <w:sz w:val="22"/>
              </w:rPr>
            </w:pPr>
            <w:r w:rsidRPr="009732EB">
              <w:rPr>
                <w:b/>
                <w:bCs/>
                <w:sz w:val="22"/>
              </w:rPr>
              <w:t>While the FDA has approved antipsychotic medication use for individuals with bipolar disorder, not all such AP use was appropriate, and as such not all residents with bipolar disorder should be excluded from the AP QMs (TEP members’ additional comments in response to RTI’s follow-up email).</w:t>
            </w:r>
          </w:p>
          <w:p w:rsidR="008F32A4" w:rsidRPr="008F32A4" w:rsidRDefault="008F32A4" w:rsidP="008F32A4">
            <w:pPr>
              <w:spacing w:before="120" w:after="120"/>
              <w:rPr>
                <w:b/>
                <w:sz w:val="22"/>
                <w:szCs w:val="20"/>
                <w:lang w:bidi="en-US"/>
              </w:rPr>
            </w:pPr>
            <w:r w:rsidRPr="008F32A4">
              <w:rPr>
                <w:b/>
                <w:sz w:val="22"/>
                <w:szCs w:val="20"/>
                <w:lang w:bidi="en-US"/>
              </w:rPr>
              <w:t>TEP members did not reach a consensus, although the majority of TEP members recommended adding bipolar disorder as exclusion.</w:t>
            </w:r>
          </w:p>
        </w:tc>
      </w:tr>
    </w:tbl>
    <w:p w:rsidR="008F32A4" w:rsidRPr="008F32A4" w:rsidRDefault="008F32A4" w:rsidP="008F32A4">
      <w:pPr>
        <w:rPr>
          <w:rFonts w:cs="Arial"/>
          <w:szCs w:val="20"/>
          <w:lang w:bidi="en-US"/>
        </w:rPr>
      </w:pPr>
    </w:p>
    <w:p w:rsidR="008F32A4" w:rsidRPr="008F32A4" w:rsidRDefault="008F32A4" w:rsidP="009732EB">
      <w:pPr>
        <w:pStyle w:val="ListParagraph"/>
        <w:keepNext/>
        <w:numPr>
          <w:ilvl w:val="0"/>
          <w:numId w:val="40"/>
        </w:numPr>
        <w:spacing w:before="80" w:after="80"/>
        <w:ind w:left="720"/>
        <w:rPr>
          <w:szCs w:val="20"/>
        </w:rPr>
      </w:pPr>
      <w:r w:rsidRPr="008F32A4">
        <w:rPr>
          <w:szCs w:val="20"/>
        </w:rPr>
        <w:lastRenderedPageBreak/>
        <w:t>Should the short-stay AP QM have the same exclusions?</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0B7A19">
        <w:trPr>
          <w:cantSplit/>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TEP members initially commented that the exclusion criteria for the long-stay AP QM should mirror that of the short-stay AP QM. However, the discussion closed with some TEP members not objecting to specifications that excluded bipolar disorder from the long-stay AP QM and not the short stay AP QM. Although consensus was not implicitly reached, since TEP members did not oppose differentiating exclusion criteria between the long-stay and short-stay AP QM, the implicit consensus is to retain bipolar disorder as exclusion for both long-stay and short-stay AP QM.</w:t>
            </w:r>
          </w:p>
          <w:p w:rsidR="008F32A4" w:rsidRPr="008F32A4" w:rsidRDefault="008F32A4" w:rsidP="008F32A4">
            <w:pPr>
              <w:spacing w:before="120" w:after="120"/>
              <w:rPr>
                <w:b/>
                <w:sz w:val="22"/>
                <w:szCs w:val="20"/>
                <w:lang w:bidi="en-US"/>
              </w:rPr>
            </w:pPr>
            <w:r w:rsidRPr="008F32A4">
              <w:rPr>
                <w:b/>
                <w:sz w:val="22"/>
                <w:szCs w:val="20"/>
                <w:lang w:bidi="en-US"/>
              </w:rPr>
              <w:t>However, several TEP members submitted follow up comments to recommend that bipolar disorder be excluded for both long-stay and short-stay AP QMs. One TEP member stated that appropriate drug therapy should not be determined based on how long a patient is in a NH. To have different exclusionary diagnosis based on short-stay or long-stay would not be beneficial in the long-term care community nor would it improve patient care. Instead, this would be very confusing.</w:t>
            </w:r>
          </w:p>
        </w:tc>
      </w:tr>
    </w:tbl>
    <w:p w:rsidR="008F32A4" w:rsidRPr="009732EB" w:rsidRDefault="008F32A4" w:rsidP="009732EB">
      <w:pPr>
        <w:pStyle w:val="ListParagraph"/>
        <w:keepNext/>
        <w:numPr>
          <w:ilvl w:val="0"/>
          <w:numId w:val="40"/>
        </w:numPr>
        <w:spacing w:before="80" w:after="80"/>
        <w:ind w:left="720"/>
        <w:rPr>
          <w:szCs w:val="20"/>
        </w:rPr>
      </w:pPr>
      <w:r w:rsidRPr="009732EB">
        <w:rPr>
          <w:szCs w:val="20"/>
        </w:rPr>
        <w:t>Should individuals under age 65 be excluded from the long-stay and short-stay AP QM denominators?</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0B7A19">
        <w:trPr>
          <w:cantSplit/>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TEP comments reflected strong consensus that those under age 65 should not be excluded</w:t>
            </w:r>
            <w:r w:rsidRPr="008F32A4">
              <w:rPr>
                <w:b/>
                <w:bCs/>
                <w:sz w:val="22"/>
                <w:szCs w:val="20"/>
                <w:lang w:bidi="en-US"/>
              </w:rPr>
              <w:t xml:space="preserve"> </w:t>
            </w:r>
            <w:r w:rsidRPr="008F32A4">
              <w:rPr>
                <w:b/>
                <w:sz w:val="22"/>
                <w:szCs w:val="20"/>
                <w:lang w:bidi="en-US"/>
              </w:rPr>
              <w:t>from the denominator for long-stay or short-stay AP QMs. TEP members emphasized that there is no justification for prescribing Antipsychotic medications to younger residents without schizophrenia, Tourette’s, Huntington’s and bipolar disorder.</w:t>
            </w:r>
          </w:p>
        </w:tc>
      </w:tr>
    </w:tbl>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DBE5F1"/>
        <w:spacing w:before="360" w:after="120"/>
        <w:outlineLvl w:val="1"/>
        <w:rPr>
          <w:rFonts w:cs="Arial"/>
          <w:b/>
          <w:caps/>
          <w:szCs w:val="20"/>
        </w:rPr>
      </w:pPr>
      <w:bookmarkStart w:id="4" w:name="_Toc337735798"/>
      <w:r w:rsidRPr="008F32A4">
        <w:rPr>
          <w:rFonts w:cs="Arial"/>
          <w:b/>
          <w:caps/>
          <w:szCs w:val="20"/>
        </w:rPr>
        <w:t>Issue 2:  Risk Adjustment</w:t>
      </w:r>
      <w:bookmarkEnd w:id="4"/>
    </w:p>
    <w:p w:rsidR="008F32A4" w:rsidRPr="009732EB" w:rsidRDefault="008F32A4" w:rsidP="009732EB">
      <w:pPr>
        <w:pStyle w:val="ListParagraph"/>
        <w:keepNext/>
        <w:numPr>
          <w:ilvl w:val="0"/>
          <w:numId w:val="40"/>
        </w:numPr>
        <w:spacing w:before="80" w:after="80"/>
        <w:ind w:left="720"/>
        <w:rPr>
          <w:szCs w:val="20"/>
        </w:rPr>
      </w:pPr>
      <w:r w:rsidRPr="009732EB">
        <w:rPr>
          <w:szCs w:val="20"/>
        </w:rPr>
        <w:t>Should the AP QMs be risk adjusted for dementia status?</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9732EB">
        <w:trPr>
          <w:cantSplit/>
          <w:trHeight w:val="4031"/>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TEP members did not reach consensus regarding risk adjustment for dementia status. Some TEP members commented that Alzheimer’s specific care facilities should not be penalized for Antipsychotic medication use simply due to lack of risk adjustment. To underscore this point, some TEP members cited the American Alzheimer’s Association white paper reporting that AP use may be appropriate treatment for Alzheimer’s and dementia residents in NHs.</w:t>
            </w:r>
          </w:p>
          <w:p w:rsidR="008F32A4" w:rsidRPr="008F32A4" w:rsidRDefault="008F32A4" w:rsidP="008F32A4">
            <w:pPr>
              <w:spacing w:before="120" w:after="120"/>
              <w:rPr>
                <w:b/>
                <w:sz w:val="22"/>
                <w:szCs w:val="20"/>
                <w:lang w:bidi="en-US"/>
              </w:rPr>
            </w:pPr>
            <w:r w:rsidRPr="008F32A4">
              <w:rPr>
                <w:b/>
                <w:sz w:val="22"/>
                <w:szCs w:val="20"/>
                <w:lang w:bidi="en-US"/>
              </w:rPr>
              <w:t>To follow up, RTI looked at BIMS/diagnostic data and reported back to TEP members regarding how many facilities would not be able to publicly report AP QMs and the variability of AP QMs if they were stratified on these criteria.</w:t>
            </w:r>
          </w:p>
          <w:p w:rsidR="008F32A4" w:rsidRPr="008F32A4" w:rsidRDefault="008F32A4" w:rsidP="008F32A4">
            <w:pPr>
              <w:spacing w:before="120" w:after="120"/>
              <w:rPr>
                <w:b/>
                <w:sz w:val="22"/>
                <w:szCs w:val="20"/>
                <w:lang w:bidi="en-US"/>
              </w:rPr>
            </w:pPr>
            <w:r w:rsidRPr="008F32A4">
              <w:rPr>
                <w:b/>
                <w:sz w:val="22"/>
                <w:szCs w:val="20"/>
                <w:lang w:bidi="en-US"/>
              </w:rPr>
              <w:t>Several TEP members wrote back in response to these analyses that dementia should not be considered as a risk adjuster for the AP QMs. The follow up comments include:</w:t>
            </w:r>
          </w:p>
          <w:p w:rsidR="008F32A4" w:rsidRPr="009732EB" w:rsidRDefault="008F32A4" w:rsidP="009732EB">
            <w:pPr>
              <w:pStyle w:val="ListParagraph"/>
              <w:numPr>
                <w:ilvl w:val="0"/>
                <w:numId w:val="40"/>
              </w:numPr>
              <w:spacing w:before="80" w:after="80"/>
              <w:rPr>
                <w:b/>
                <w:bCs/>
                <w:sz w:val="22"/>
              </w:rPr>
            </w:pPr>
            <w:r w:rsidRPr="009732EB">
              <w:rPr>
                <w:b/>
                <w:bCs/>
                <w:sz w:val="22"/>
              </w:rPr>
              <w:t>Black box warning for increased risk of mortality specifically refers to dementia patients.</w:t>
            </w:r>
          </w:p>
          <w:p w:rsidR="008F32A4" w:rsidRPr="002D0DCE" w:rsidRDefault="008F32A4" w:rsidP="009732EB">
            <w:pPr>
              <w:pStyle w:val="ListParagraph"/>
              <w:numPr>
                <w:ilvl w:val="0"/>
                <w:numId w:val="40"/>
              </w:numPr>
              <w:spacing w:before="80" w:after="80"/>
              <w:rPr>
                <w:b/>
                <w:sz w:val="22"/>
                <w:szCs w:val="20"/>
                <w:lang w:bidi="en-US"/>
              </w:rPr>
            </w:pPr>
            <w:r w:rsidRPr="009732EB">
              <w:rPr>
                <w:b/>
                <w:bCs/>
                <w:sz w:val="22"/>
              </w:rPr>
              <w:t>Appropriate classification of dementia is extremely difficult.</w:t>
            </w:r>
          </w:p>
        </w:tc>
      </w:tr>
    </w:tbl>
    <w:p w:rsidR="008F32A4" w:rsidRPr="008F32A4" w:rsidRDefault="008F32A4" w:rsidP="008F32A4">
      <w:pPr>
        <w:tabs>
          <w:tab w:val="num" w:pos="1260"/>
        </w:tabs>
        <w:spacing w:after="200"/>
        <w:rPr>
          <w:rFonts w:cs="Arial"/>
          <w:noProof/>
          <w:sz w:val="20"/>
          <w:szCs w:val="20"/>
          <w:lang w:bidi="en-US"/>
        </w:rPr>
      </w:pPr>
    </w:p>
    <w:p w:rsidR="008F32A4" w:rsidRPr="009732EB" w:rsidRDefault="008F32A4" w:rsidP="009732EB">
      <w:pPr>
        <w:pStyle w:val="ListParagraph"/>
        <w:keepNext/>
        <w:numPr>
          <w:ilvl w:val="0"/>
          <w:numId w:val="40"/>
        </w:numPr>
        <w:spacing w:before="80" w:after="80"/>
        <w:ind w:left="720"/>
        <w:rPr>
          <w:szCs w:val="20"/>
        </w:rPr>
      </w:pPr>
      <w:r w:rsidRPr="009732EB">
        <w:rPr>
          <w:szCs w:val="20"/>
        </w:rPr>
        <w:lastRenderedPageBreak/>
        <w:t>Should AP QMs be risk adjusted for residents’ hospice status?</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0B7A19">
        <w:trPr>
          <w:cantSplit/>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While there was no consensus among TEP members regarding risk adjustment for hospice status, the majority of TEP members argued against risk adjusting AP QMs for hospice status.</w:t>
            </w:r>
          </w:p>
          <w:p w:rsidR="008F32A4" w:rsidRPr="008F32A4" w:rsidRDefault="008F32A4" w:rsidP="008F32A4">
            <w:pPr>
              <w:spacing w:before="120" w:after="120"/>
              <w:rPr>
                <w:b/>
                <w:sz w:val="22"/>
                <w:szCs w:val="20"/>
                <w:lang w:bidi="en-US"/>
              </w:rPr>
            </w:pPr>
            <w:r w:rsidRPr="008F32A4">
              <w:rPr>
                <w:b/>
                <w:sz w:val="22"/>
                <w:szCs w:val="20"/>
                <w:lang w:bidi="en-US"/>
              </w:rPr>
              <w:t>TEP member comments in favor of risk adjusting for hospice status include:</w:t>
            </w:r>
          </w:p>
          <w:p w:rsidR="008F32A4" w:rsidRPr="009732EB" w:rsidRDefault="008F32A4" w:rsidP="009732EB">
            <w:pPr>
              <w:pStyle w:val="ListParagraph"/>
              <w:numPr>
                <w:ilvl w:val="0"/>
                <w:numId w:val="40"/>
              </w:numPr>
              <w:spacing w:before="80" w:after="80"/>
              <w:rPr>
                <w:b/>
                <w:bCs/>
                <w:sz w:val="22"/>
              </w:rPr>
            </w:pPr>
            <w:r w:rsidRPr="009732EB">
              <w:rPr>
                <w:b/>
                <w:bCs/>
                <w:sz w:val="22"/>
              </w:rPr>
              <w:t>The hospice setting is unique setting in which wide-spread off label AP use may be appropriate related to the terminal care setting.</w:t>
            </w:r>
          </w:p>
          <w:p w:rsidR="008F32A4" w:rsidRPr="009732EB" w:rsidRDefault="008F32A4" w:rsidP="009732EB">
            <w:pPr>
              <w:pStyle w:val="ListParagraph"/>
              <w:numPr>
                <w:ilvl w:val="0"/>
                <w:numId w:val="40"/>
              </w:numPr>
              <w:spacing w:before="80" w:after="80"/>
              <w:rPr>
                <w:b/>
                <w:bCs/>
                <w:sz w:val="22"/>
              </w:rPr>
            </w:pPr>
            <w:r w:rsidRPr="009732EB">
              <w:rPr>
                <w:b/>
                <w:bCs/>
                <w:sz w:val="22"/>
              </w:rPr>
              <w:t>The MDS 3.0 item for Antipsychotics may not be sensitive enough to differentiate single-episode appropriate use from persistent use or misuse.</w:t>
            </w:r>
          </w:p>
          <w:p w:rsidR="008F32A4" w:rsidRPr="008F32A4" w:rsidRDefault="008F32A4" w:rsidP="008F32A4">
            <w:pPr>
              <w:spacing w:before="120" w:after="120"/>
              <w:rPr>
                <w:b/>
                <w:sz w:val="22"/>
                <w:szCs w:val="20"/>
                <w:lang w:bidi="en-US"/>
              </w:rPr>
            </w:pPr>
            <w:r w:rsidRPr="008F32A4">
              <w:rPr>
                <w:b/>
                <w:sz w:val="22"/>
                <w:szCs w:val="20"/>
                <w:lang w:bidi="en-US"/>
              </w:rPr>
              <w:t>TEP member comments opposed to risk adjusting for hospice include:</w:t>
            </w:r>
          </w:p>
          <w:p w:rsidR="008F32A4" w:rsidRPr="009732EB" w:rsidRDefault="008F32A4" w:rsidP="009732EB">
            <w:pPr>
              <w:pStyle w:val="ListParagraph"/>
              <w:numPr>
                <w:ilvl w:val="0"/>
                <w:numId w:val="40"/>
              </w:numPr>
              <w:spacing w:before="80" w:after="80"/>
              <w:rPr>
                <w:b/>
                <w:bCs/>
                <w:sz w:val="22"/>
              </w:rPr>
            </w:pPr>
            <w:r w:rsidRPr="009732EB">
              <w:rPr>
                <w:b/>
                <w:bCs/>
                <w:sz w:val="22"/>
              </w:rPr>
              <w:t>AP use in hospice settings is disproportionally high and may indicate misuse.</w:t>
            </w:r>
          </w:p>
          <w:p w:rsidR="008F32A4" w:rsidRPr="009732EB" w:rsidRDefault="008F32A4" w:rsidP="009732EB">
            <w:pPr>
              <w:pStyle w:val="ListParagraph"/>
              <w:numPr>
                <w:ilvl w:val="0"/>
                <w:numId w:val="40"/>
              </w:numPr>
              <w:spacing w:before="80" w:after="80"/>
              <w:rPr>
                <w:b/>
                <w:bCs/>
                <w:sz w:val="22"/>
              </w:rPr>
            </w:pPr>
            <w:r w:rsidRPr="009732EB">
              <w:rPr>
                <w:b/>
                <w:bCs/>
                <w:sz w:val="22"/>
              </w:rPr>
              <w:t>Every hospice resident’s condition is unique. Globally allowing ‘hospice’ to go under the radar may not be appropriate.</w:t>
            </w:r>
          </w:p>
          <w:p w:rsidR="008F32A4" w:rsidRPr="009732EB" w:rsidRDefault="008F32A4" w:rsidP="009732EB">
            <w:pPr>
              <w:pStyle w:val="ListParagraph"/>
              <w:numPr>
                <w:ilvl w:val="0"/>
                <w:numId w:val="40"/>
              </w:numPr>
              <w:spacing w:before="80" w:after="80"/>
              <w:rPr>
                <w:b/>
                <w:bCs/>
                <w:sz w:val="22"/>
              </w:rPr>
            </w:pPr>
            <w:r w:rsidRPr="009732EB">
              <w:rPr>
                <w:b/>
                <w:bCs/>
                <w:sz w:val="22"/>
              </w:rPr>
              <w:t>Anecdotal evidence suggests that residents are sometimes traumatized by antipsychotic drugs during their final days or hours, and that in many cases the drugs were used without their knowledge or consent (TEP members’ additional comments in response to RTI’s follow-up email).</w:t>
            </w:r>
          </w:p>
          <w:p w:rsidR="008F32A4" w:rsidRPr="008F32A4" w:rsidRDefault="008F32A4" w:rsidP="008F32A4">
            <w:pPr>
              <w:spacing w:before="120" w:after="120"/>
              <w:rPr>
                <w:b/>
                <w:sz w:val="22"/>
                <w:szCs w:val="20"/>
                <w:lang w:bidi="en-US"/>
              </w:rPr>
            </w:pPr>
            <w:r w:rsidRPr="008F32A4">
              <w:rPr>
                <w:b/>
                <w:sz w:val="22"/>
                <w:szCs w:val="20"/>
                <w:lang w:bidi="en-US"/>
              </w:rPr>
              <w:t>Based on the majority of the TEP members’ position, RTI recommends that AP QMs not be risk adjusted for residents’ hospice status. RTI contacted TEP members for further comments and asked TEP members for final direction on this issue. Several TEP members wrote back and reiterated that AP QMs not be risk adjusted for hospice.</w:t>
            </w:r>
          </w:p>
        </w:tc>
      </w:tr>
    </w:tbl>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DBE5F1"/>
        <w:spacing w:before="360" w:after="120"/>
        <w:outlineLvl w:val="1"/>
        <w:rPr>
          <w:rFonts w:cs="Arial"/>
          <w:b/>
          <w:caps/>
          <w:szCs w:val="20"/>
        </w:rPr>
      </w:pPr>
      <w:bookmarkStart w:id="5" w:name="_Toc337735799"/>
      <w:r w:rsidRPr="008F32A4">
        <w:rPr>
          <w:rFonts w:cs="Arial"/>
          <w:b/>
          <w:caps/>
          <w:szCs w:val="20"/>
        </w:rPr>
        <w:t>Issue 3:  Evaluating AP QMs Against NQF Criteria</w:t>
      </w:r>
      <w:bookmarkEnd w:id="5"/>
    </w:p>
    <w:p w:rsidR="008F32A4" w:rsidRPr="009732EB" w:rsidRDefault="008F32A4" w:rsidP="009732EB">
      <w:pPr>
        <w:pStyle w:val="ListParagraph"/>
        <w:keepNext/>
        <w:numPr>
          <w:ilvl w:val="0"/>
          <w:numId w:val="40"/>
        </w:numPr>
        <w:spacing w:before="80" w:after="80"/>
        <w:ind w:left="720"/>
        <w:rPr>
          <w:szCs w:val="20"/>
        </w:rPr>
      </w:pPr>
      <w:r w:rsidRPr="009732EB">
        <w:rPr>
          <w:szCs w:val="20"/>
        </w:rPr>
        <w:t>Do the AP QMs meet NQF endorsement criteria?</w:t>
      </w:r>
    </w:p>
    <w:tbl>
      <w:tblPr>
        <w:tblStyle w:val="TableGrid"/>
        <w:tblW w:w="5000" w:type="pct"/>
        <w:tblInd w:w="86" w:type="dxa"/>
        <w:tblLayout w:type="fixed"/>
        <w:tblCellMar>
          <w:left w:w="115" w:type="dxa"/>
          <w:right w:w="115" w:type="dxa"/>
        </w:tblCellMar>
        <w:tblLook w:val="04A0" w:firstRow="1" w:lastRow="0" w:firstColumn="1" w:lastColumn="0" w:noHBand="0" w:noVBand="1"/>
      </w:tblPr>
      <w:tblGrid>
        <w:gridCol w:w="9590"/>
      </w:tblGrid>
      <w:tr w:rsidR="008F32A4" w:rsidRPr="008F32A4" w:rsidTr="000B7A19">
        <w:trPr>
          <w:cantSplit/>
        </w:trPr>
        <w:tc>
          <w:tcPr>
            <w:tcW w:w="9590" w:type="dxa"/>
          </w:tcPr>
          <w:p w:rsidR="008F32A4" w:rsidRPr="008F32A4" w:rsidRDefault="008F32A4" w:rsidP="008F32A4">
            <w:pPr>
              <w:spacing w:before="120" w:after="120"/>
              <w:rPr>
                <w:b/>
                <w:sz w:val="22"/>
                <w:szCs w:val="20"/>
                <w:lang w:bidi="en-US"/>
              </w:rPr>
            </w:pPr>
            <w:r w:rsidRPr="008F32A4">
              <w:rPr>
                <w:b/>
                <w:sz w:val="22"/>
                <w:szCs w:val="20"/>
                <w:lang w:bidi="en-US"/>
              </w:rPr>
              <w:t xml:space="preserve">TEP members expressed consensus that the AP QMs as designed and presented met NQF endorsement criteria regarding validity, reliability, and </w:t>
            </w:r>
            <w:proofErr w:type="spellStart"/>
            <w:r w:rsidRPr="008F32A4">
              <w:rPr>
                <w:b/>
                <w:sz w:val="22"/>
                <w:szCs w:val="20"/>
                <w:lang w:bidi="en-US"/>
              </w:rPr>
              <w:t>reportability</w:t>
            </w:r>
            <w:proofErr w:type="spellEnd"/>
            <w:r w:rsidRPr="008F32A4">
              <w:rPr>
                <w:b/>
                <w:sz w:val="22"/>
                <w:szCs w:val="20"/>
                <w:lang w:bidi="en-US"/>
              </w:rPr>
              <w:t xml:space="preserve"> data of the AP QMs. There was not extensive discussion regarding the NQF dimensions of a quality measure. RTI solicited additional comments from TEP members in the follow up email. TEP members had no further comments with regard to this issue.</w:t>
            </w:r>
          </w:p>
        </w:tc>
      </w:tr>
    </w:tbl>
    <w:p w:rsidR="008F32A4" w:rsidRPr="008F32A4" w:rsidRDefault="008F32A4" w:rsidP="008F32A4">
      <w:pPr>
        <w:keepNext/>
        <w:keepLines/>
        <w:pBdr>
          <w:top w:val="single" w:sz="8" w:space="0" w:color="365F91"/>
          <w:left w:val="single" w:sz="8" w:space="0" w:color="365F91"/>
          <w:bottom w:val="single" w:sz="8" w:space="0" w:color="365F91"/>
          <w:right w:val="single" w:sz="8" w:space="0" w:color="365F91"/>
        </w:pBdr>
        <w:shd w:val="clear" w:color="auto" w:fill="DBE5F1"/>
        <w:spacing w:before="360" w:after="120"/>
        <w:outlineLvl w:val="1"/>
        <w:rPr>
          <w:rFonts w:cs="Arial"/>
          <w:b/>
          <w:caps/>
          <w:szCs w:val="20"/>
        </w:rPr>
      </w:pPr>
      <w:bookmarkStart w:id="6" w:name="_Toc337735800"/>
      <w:r w:rsidRPr="008F32A4">
        <w:rPr>
          <w:rFonts w:cs="Arial"/>
          <w:b/>
          <w:caps/>
          <w:szCs w:val="20"/>
        </w:rPr>
        <w:t>Issue 4:  Are There Balancing Measures</w:t>
      </w:r>
      <w:bookmarkEnd w:id="6"/>
    </w:p>
    <w:p w:rsidR="00461F81" w:rsidRPr="009732EB" w:rsidRDefault="008F32A4" w:rsidP="009732EB">
      <w:pPr>
        <w:pStyle w:val="ListParagraph"/>
        <w:keepNext/>
        <w:numPr>
          <w:ilvl w:val="0"/>
          <w:numId w:val="40"/>
        </w:numPr>
        <w:spacing w:before="80" w:after="80"/>
        <w:ind w:left="720"/>
        <w:rPr>
          <w:szCs w:val="20"/>
        </w:rPr>
      </w:pPr>
      <w:r w:rsidRPr="008F32A4">
        <w:rPr>
          <w:szCs w:val="20"/>
        </w:rPr>
        <w:t>Are there other measures that can complement the AP QMs?</w:t>
      </w:r>
    </w:p>
    <w:p w:rsidR="008F32A4" w:rsidRPr="008F32A4" w:rsidRDefault="008F32A4" w:rsidP="009732EB">
      <w:pPr>
        <w:pBdr>
          <w:top w:val="single" w:sz="4" w:space="1" w:color="auto"/>
          <w:left w:val="single" w:sz="4" w:space="4" w:color="auto"/>
          <w:bottom w:val="single" w:sz="4" w:space="9" w:color="auto"/>
          <w:right w:val="single" w:sz="4" w:space="10" w:color="auto"/>
        </w:pBdr>
        <w:rPr>
          <w:rFonts w:cs="Arial"/>
          <w:b/>
          <w:bCs/>
          <w:noProof/>
          <w:szCs w:val="20"/>
          <w:lang w:bidi="en-US"/>
        </w:rPr>
      </w:pPr>
      <w:r w:rsidRPr="008F32A4">
        <w:rPr>
          <w:rFonts w:cs="Arial"/>
          <w:b/>
          <w:sz w:val="22"/>
          <w:szCs w:val="20"/>
          <w:lang w:bidi="en-US"/>
        </w:rPr>
        <w:t xml:space="preserve">TEP members did not reach consensus regarding appropriate balancing measures used in conjunction with the AP QMs. Some TEP members commented that restricting the measure to prevalence and incidence may not be broad enough to serve as measures of quality. Other TEP members indicated that other considerations including examining anti-anxiety medication use, supplementing MDS 3.0 data with Medicare Part D claims and examining Antipsychotic </w:t>
      </w:r>
      <w:proofErr w:type="spellStart"/>
      <w:r w:rsidRPr="008F32A4">
        <w:rPr>
          <w:rFonts w:cs="Arial"/>
          <w:b/>
          <w:sz w:val="22"/>
          <w:szCs w:val="20"/>
          <w:lang w:bidi="en-US"/>
        </w:rPr>
        <w:t>polypharmacy</w:t>
      </w:r>
      <w:proofErr w:type="spellEnd"/>
      <w:r w:rsidRPr="008F32A4">
        <w:rPr>
          <w:rFonts w:cs="Arial"/>
          <w:b/>
          <w:sz w:val="22"/>
          <w:szCs w:val="20"/>
          <w:lang w:bidi="en-US"/>
        </w:rPr>
        <w:t xml:space="preserve"> may strengthen the measures as currently specified.</w:t>
      </w:r>
    </w:p>
    <w:p w:rsidR="008C549F" w:rsidRPr="00EC220A" w:rsidRDefault="008C549F" w:rsidP="00EC220A"/>
    <w:sectPr w:rsidR="008C549F" w:rsidRPr="00EC220A" w:rsidSect="002C4829">
      <w:headerReference w:type="default" r:id="rId9"/>
      <w:footerReference w:type="default" r:id="rId10"/>
      <w:headerReference w:type="first" r:id="rId11"/>
      <w:footerReference w:type="first" r:id="rId12"/>
      <w:footnotePr>
        <w:numRestart w:val="eachPage"/>
      </w:footnotePr>
      <w:pgSz w:w="12240" w:h="15840"/>
      <w:pgMar w:top="1440" w:right="1440" w:bottom="1440" w:left="1440" w:header="864" w:footer="43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20A" w:rsidRDefault="00EC220A">
      <w:r>
        <w:separator/>
      </w:r>
    </w:p>
  </w:endnote>
  <w:endnote w:type="continuationSeparator" w:id="0">
    <w:p w:rsidR="00EC220A" w:rsidRDefault="00EC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Light">
    <w:altName w:val="Agency FB"/>
    <w:charset w:val="00"/>
    <w:family w:val="auto"/>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0A" w:rsidRDefault="00EC220A" w:rsidP="00CC3FD5">
    <w:pPr>
      <w:ind w:left="-540"/>
    </w:pPr>
    <w:r>
      <w:rPr>
        <w:noProof/>
      </w:rPr>
      <w:drawing>
        <wp:inline distT="0" distB="0" distL="0" distR="0">
          <wp:extent cx="3105150" cy="476250"/>
          <wp:effectExtent l="19050" t="0" r="0" b="0"/>
          <wp:docPr id="1" name="Picture 1" descr="Turning knowledge into prac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ning knowledge into practice"/>
                  <pic:cNvPicPr>
                    <a:picLocks noChangeAspect="1" noChangeArrowheads="1"/>
                  </pic:cNvPicPr>
                </pic:nvPicPr>
                <pic:blipFill>
                  <a:blip r:embed="rId1"/>
                  <a:srcRect r="50583"/>
                  <a:stretch>
                    <a:fillRect/>
                  </a:stretch>
                </pic:blipFill>
                <pic:spPr bwMode="auto">
                  <a:xfrm>
                    <a:off x="0" y="0"/>
                    <a:ext cx="3105150" cy="47625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0A" w:rsidRDefault="00EC220A" w:rsidP="00CC3FD5">
    <w:r>
      <w:rPr>
        <w:noProof/>
      </w:rPr>
      <w:drawing>
        <wp:inline distT="0" distB="0" distL="0" distR="0">
          <wp:extent cx="6276975" cy="476250"/>
          <wp:effectExtent l="19050" t="0" r="9525" b="0"/>
          <wp:docPr id="3" name="Picture 3" descr="Turning knowledge into practice&#10;RTI International is a trade name of Research Triangle Instit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ning knowledge into practice&#10;RTI International is a trade name of Research Triangle Institute"/>
                  <pic:cNvPicPr>
                    <a:picLocks noChangeAspect="1" noChangeArrowheads="1"/>
                  </pic:cNvPicPr>
                </pic:nvPicPr>
                <pic:blipFill>
                  <a:blip r:embed="rId1"/>
                  <a:srcRect/>
                  <a:stretch>
                    <a:fillRect/>
                  </a:stretch>
                </pic:blipFill>
                <pic:spPr bwMode="auto">
                  <a:xfrm>
                    <a:off x="0" y="0"/>
                    <a:ext cx="6276975" cy="4762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20A" w:rsidRDefault="00EC220A">
      <w:r>
        <w:separator/>
      </w:r>
    </w:p>
  </w:footnote>
  <w:footnote w:type="continuationSeparator" w:id="0">
    <w:p w:rsidR="00EC220A" w:rsidRDefault="00EC2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DCE" w:rsidRPr="002D0DCE" w:rsidRDefault="002D0DCE" w:rsidP="002D0DCE">
    <w:r w:rsidRPr="002D0DCE">
      <w:t>Technical Expert Panel Recommendations Summary</w:t>
    </w:r>
  </w:p>
  <w:p w:rsidR="00EC220A" w:rsidRDefault="00EC220A">
    <w:pPr>
      <w:rPr>
        <w:szCs w:val="24"/>
      </w:rPr>
    </w:pPr>
    <w:r>
      <w:rPr>
        <w:szCs w:val="24"/>
      </w:rPr>
      <w:t xml:space="preserve">Page </w:t>
    </w:r>
    <w:r w:rsidR="00A777A9">
      <w:rPr>
        <w:szCs w:val="24"/>
      </w:rPr>
      <w:fldChar w:fldCharType="begin"/>
    </w:r>
    <w:r>
      <w:rPr>
        <w:szCs w:val="24"/>
      </w:rPr>
      <w:instrText xml:space="preserve"> PAGE </w:instrText>
    </w:r>
    <w:r w:rsidR="00A777A9">
      <w:rPr>
        <w:szCs w:val="24"/>
      </w:rPr>
      <w:fldChar w:fldCharType="separate"/>
    </w:r>
    <w:r w:rsidR="00275394">
      <w:rPr>
        <w:noProof/>
        <w:szCs w:val="24"/>
      </w:rPr>
      <w:t>2</w:t>
    </w:r>
    <w:r w:rsidR="00A777A9">
      <w:rPr>
        <w:szCs w:val="24"/>
      </w:rPr>
      <w:fldChar w:fldCharType="end"/>
    </w:r>
  </w:p>
  <w:p w:rsidR="002D0DCE" w:rsidRDefault="002D0DCE">
    <w:pPr>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0A" w:rsidRDefault="00EC220A" w:rsidP="00CC3FD5">
    <w:pPr>
      <w:tabs>
        <w:tab w:val="left" w:pos="1800"/>
      </w:tabs>
      <w:ind w:left="-619" w:right="-619"/>
      <w:rPr>
        <w:rFonts w:ascii="Helvetica Light" w:hAnsi="Helvetica Light"/>
      </w:rPr>
    </w:pPr>
    <w:r>
      <w:rPr>
        <w:noProof/>
      </w:rPr>
      <w:drawing>
        <wp:inline distT="0" distB="0" distL="0" distR="0">
          <wp:extent cx="5848350" cy="704850"/>
          <wp:effectExtent l="19050" t="0" r="0" b="0"/>
          <wp:docPr id="2" name="Picture 2" descr="Logo for RTI International&#10;3040 Cornwallis Road&#10;P.O. Box 12194&#10;Research Triangle Park, NC 27709-2194 USA&#10;Telephone: 919.541.6000&#10;Fax: 919.541.5985&#10;Website: www.rti.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for RTI International&#10;3040 Cornwallis Road&#10;P.O. Box 12194&#10;Research Triangle Park, NC 27709-2194 USA&#10;Telephone: 919.541.6000&#10;Fax: 919.541.5985&#10;Website: www.rti.org"/>
                  <pic:cNvPicPr>
                    <a:picLocks noChangeAspect="1" noChangeArrowheads="1"/>
                  </pic:cNvPicPr>
                </pic:nvPicPr>
                <pic:blipFill>
                  <a:blip r:embed="rId1"/>
                  <a:srcRect/>
                  <a:stretch>
                    <a:fillRect/>
                  </a:stretch>
                </pic:blipFill>
                <pic:spPr bwMode="auto">
                  <a:xfrm>
                    <a:off x="0" y="0"/>
                    <a:ext cx="5848350" cy="704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68EAC54"/>
    <w:lvl w:ilvl="0">
      <w:start w:val="1"/>
      <w:numFmt w:val="decimal"/>
      <w:lvlText w:val="%1."/>
      <w:lvlJc w:val="left"/>
      <w:pPr>
        <w:tabs>
          <w:tab w:val="num" w:pos="1800"/>
        </w:tabs>
        <w:ind w:left="1800" w:hanging="360"/>
      </w:pPr>
    </w:lvl>
  </w:abstractNum>
  <w:abstractNum w:abstractNumId="1">
    <w:nsid w:val="FFFFFF7D"/>
    <w:multiLevelType w:val="singleLevel"/>
    <w:tmpl w:val="C79AD9F2"/>
    <w:lvl w:ilvl="0">
      <w:start w:val="1"/>
      <w:numFmt w:val="decimal"/>
      <w:lvlText w:val="%1."/>
      <w:lvlJc w:val="left"/>
      <w:pPr>
        <w:tabs>
          <w:tab w:val="num" w:pos="1440"/>
        </w:tabs>
        <w:ind w:left="1440" w:hanging="360"/>
      </w:pPr>
    </w:lvl>
  </w:abstractNum>
  <w:abstractNum w:abstractNumId="2">
    <w:nsid w:val="FFFFFF7E"/>
    <w:multiLevelType w:val="singleLevel"/>
    <w:tmpl w:val="2F30A682"/>
    <w:lvl w:ilvl="0">
      <w:start w:val="1"/>
      <w:numFmt w:val="decimal"/>
      <w:lvlText w:val="%1."/>
      <w:lvlJc w:val="left"/>
      <w:pPr>
        <w:tabs>
          <w:tab w:val="num" w:pos="1080"/>
        </w:tabs>
        <w:ind w:left="1080" w:hanging="360"/>
      </w:pPr>
    </w:lvl>
  </w:abstractNum>
  <w:abstractNum w:abstractNumId="3">
    <w:nsid w:val="FFFFFF7F"/>
    <w:multiLevelType w:val="singleLevel"/>
    <w:tmpl w:val="7A1C2972"/>
    <w:lvl w:ilvl="0">
      <w:start w:val="1"/>
      <w:numFmt w:val="decimal"/>
      <w:lvlText w:val="%1."/>
      <w:lvlJc w:val="left"/>
      <w:pPr>
        <w:tabs>
          <w:tab w:val="num" w:pos="720"/>
        </w:tabs>
        <w:ind w:left="720" w:hanging="360"/>
      </w:pPr>
    </w:lvl>
  </w:abstractNum>
  <w:abstractNum w:abstractNumId="4">
    <w:nsid w:val="FFFFFF80"/>
    <w:multiLevelType w:val="singleLevel"/>
    <w:tmpl w:val="CE8A43A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4429C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CC2E1DC"/>
    <w:lvl w:ilvl="0">
      <w:start w:val="1"/>
      <w:numFmt w:val="bullet"/>
      <w:pStyle w:val="ListBullet3"/>
      <w:lvlText w:val="▪"/>
      <w:lvlJc w:val="left"/>
      <w:pPr>
        <w:tabs>
          <w:tab w:val="num" w:pos="1080"/>
        </w:tabs>
        <w:ind w:left="1080" w:hanging="360"/>
      </w:pPr>
      <w:rPr>
        <w:rFonts w:ascii="Arial" w:hAnsi="Arial" w:hint="default"/>
      </w:rPr>
    </w:lvl>
  </w:abstractNum>
  <w:abstractNum w:abstractNumId="7">
    <w:nsid w:val="FFFFFF83"/>
    <w:multiLevelType w:val="singleLevel"/>
    <w:tmpl w:val="B6C6490E"/>
    <w:lvl w:ilvl="0">
      <w:start w:val="1"/>
      <w:numFmt w:val="bullet"/>
      <w:pStyle w:val="ListBullet2"/>
      <w:lvlText w:val="–"/>
      <w:lvlJc w:val="left"/>
      <w:pPr>
        <w:tabs>
          <w:tab w:val="num" w:pos="720"/>
        </w:tabs>
        <w:ind w:left="720" w:hanging="360"/>
      </w:pPr>
      <w:rPr>
        <w:rFonts w:ascii="Verdana" w:hAnsi="Verdana" w:hint="default"/>
      </w:rPr>
    </w:lvl>
  </w:abstractNum>
  <w:abstractNum w:abstractNumId="8">
    <w:nsid w:val="FFFFFF88"/>
    <w:multiLevelType w:val="singleLevel"/>
    <w:tmpl w:val="6BBA30B6"/>
    <w:lvl w:ilvl="0">
      <w:start w:val="1"/>
      <w:numFmt w:val="decimal"/>
      <w:lvlText w:val="%1."/>
      <w:lvlJc w:val="left"/>
      <w:pPr>
        <w:tabs>
          <w:tab w:val="num" w:pos="360"/>
        </w:tabs>
        <w:ind w:left="360" w:hanging="360"/>
      </w:pPr>
    </w:lvl>
  </w:abstractNum>
  <w:abstractNum w:abstractNumId="9">
    <w:nsid w:val="FFFFFF89"/>
    <w:multiLevelType w:val="singleLevel"/>
    <w:tmpl w:val="403CA6D6"/>
    <w:lvl w:ilvl="0">
      <w:start w:val="1"/>
      <w:numFmt w:val="bullet"/>
      <w:lvlText w:val=""/>
      <w:lvlJc w:val="left"/>
      <w:pPr>
        <w:tabs>
          <w:tab w:val="num" w:pos="360"/>
        </w:tabs>
        <w:ind w:left="360" w:hanging="360"/>
      </w:pPr>
      <w:rPr>
        <w:rFonts w:ascii="Symbol" w:hAnsi="Symbol" w:hint="default"/>
      </w:rPr>
    </w:lvl>
  </w:abstractNum>
  <w:abstractNum w:abstractNumId="10">
    <w:nsid w:val="0E0F049B"/>
    <w:multiLevelType w:val="hybridMultilevel"/>
    <w:tmpl w:val="A11EA2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24B0046"/>
    <w:multiLevelType w:val="hybridMultilevel"/>
    <w:tmpl w:val="47A04CEC"/>
    <w:lvl w:ilvl="0" w:tplc="5914D7B6">
      <w:start w:val="1"/>
      <w:numFmt w:val="bullet"/>
      <w:lvlText w:val="•"/>
      <w:lvlJc w:val="left"/>
      <w:pPr>
        <w:tabs>
          <w:tab w:val="num" w:pos="720"/>
        </w:tabs>
        <w:ind w:left="720" w:hanging="360"/>
      </w:pPr>
      <w:rPr>
        <w:rFonts w:ascii="Times" w:hAnsi="Times" w:hint="default"/>
      </w:rPr>
    </w:lvl>
    <w:lvl w:ilvl="1" w:tplc="E1866E66">
      <w:start w:val="976"/>
      <w:numFmt w:val="bullet"/>
      <w:lvlText w:val="–"/>
      <w:lvlJc w:val="left"/>
      <w:pPr>
        <w:tabs>
          <w:tab w:val="num" w:pos="1260"/>
        </w:tabs>
        <w:ind w:left="1260" w:hanging="360"/>
      </w:pPr>
      <w:rPr>
        <w:rFonts w:ascii="Times New Roman" w:hAnsi="Times New Roman" w:hint="default"/>
      </w:rPr>
    </w:lvl>
    <w:lvl w:ilvl="2" w:tplc="ADC4B2AA">
      <w:start w:val="1"/>
      <w:numFmt w:val="bullet"/>
      <w:lvlText w:val="•"/>
      <w:lvlJc w:val="left"/>
      <w:pPr>
        <w:tabs>
          <w:tab w:val="num" w:pos="2160"/>
        </w:tabs>
        <w:ind w:left="2160" w:hanging="360"/>
      </w:pPr>
      <w:rPr>
        <w:rFonts w:ascii="Times" w:hAnsi="Times" w:hint="default"/>
      </w:rPr>
    </w:lvl>
    <w:lvl w:ilvl="3" w:tplc="CDEC666E" w:tentative="1">
      <w:start w:val="1"/>
      <w:numFmt w:val="bullet"/>
      <w:lvlText w:val="•"/>
      <w:lvlJc w:val="left"/>
      <w:pPr>
        <w:tabs>
          <w:tab w:val="num" w:pos="2880"/>
        </w:tabs>
        <w:ind w:left="2880" w:hanging="360"/>
      </w:pPr>
      <w:rPr>
        <w:rFonts w:ascii="Times" w:hAnsi="Times" w:hint="default"/>
      </w:rPr>
    </w:lvl>
    <w:lvl w:ilvl="4" w:tplc="09C8A2F2" w:tentative="1">
      <w:start w:val="1"/>
      <w:numFmt w:val="bullet"/>
      <w:lvlText w:val="•"/>
      <w:lvlJc w:val="left"/>
      <w:pPr>
        <w:tabs>
          <w:tab w:val="num" w:pos="3600"/>
        </w:tabs>
        <w:ind w:left="3600" w:hanging="360"/>
      </w:pPr>
      <w:rPr>
        <w:rFonts w:ascii="Times" w:hAnsi="Times" w:hint="default"/>
      </w:rPr>
    </w:lvl>
    <w:lvl w:ilvl="5" w:tplc="CBA624CC" w:tentative="1">
      <w:start w:val="1"/>
      <w:numFmt w:val="bullet"/>
      <w:lvlText w:val="•"/>
      <w:lvlJc w:val="left"/>
      <w:pPr>
        <w:tabs>
          <w:tab w:val="num" w:pos="4320"/>
        </w:tabs>
        <w:ind w:left="4320" w:hanging="360"/>
      </w:pPr>
      <w:rPr>
        <w:rFonts w:ascii="Times" w:hAnsi="Times" w:hint="default"/>
      </w:rPr>
    </w:lvl>
    <w:lvl w:ilvl="6" w:tplc="22125DA2" w:tentative="1">
      <w:start w:val="1"/>
      <w:numFmt w:val="bullet"/>
      <w:lvlText w:val="•"/>
      <w:lvlJc w:val="left"/>
      <w:pPr>
        <w:tabs>
          <w:tab w:val="num" w:pos="5040"/>
        </w:tabs>
        <w:ind w:left="5040" w:hanging="360"/>
      </w:pPr>
      <w:rPr>
        <w:rFonts w:ascii="Times" w:hAnsi="Times" w:hint="default"/>
      </w:rPr>
    </w:lvl>
    <w:lvl w:ilvl="7" w:tplc="9E98AAA8" w:tentative="1">
      <w:start w:val="1"/>
      <w:numFmt w:val="bullet"/>
      <w:lvlText w:val="•"/>
      <w:lvlJc w:val="left"/>
      <w:pPr>
        <w:tabs>
          <w:tab w:val="num" w:pos="5760"/>
        </w:tabs>
        <w:ind w:left="5760" w:hanging="360"/>
      </w:pPr>
      <w:rPr>
        <w:rFonts w:ascii="Times" w:hAnsi="Times" w:hint="default"/>
      </w:rPr>
    </w:lvl>
    <w:lvl w:ilvl="8" w:tplc="A10A89FA" w:tentative="1">
      <w:start w:val="1"/>
      <w:numFmt w:val="bullet"/>
      <w:lvlText w:val="•"/>
      <w:lvlJc w:val="left"/>
      <w:pPr>
        <w:tabs>
          <w:tab w:val="num" w:pos="6480"/>
        </w:tabs>
        <w:ind w:left="6480" w:hanging="360"/>
      </w:pPr>
      <w:rPr>
        <w:rFonts w:ascii="Times" w:hAnsi="Times" w:hint="default"/>
      </w:rPr>
    </w:lvl>
  </w:abstractNum>
  <w:abstractNum w:abstractNumId="12">
    <w:nsid w:val="14F81606"/>
    <w:multiLevelType w:val="hybridMultilevel"/>
    <w:tmpl w:val="BD1A3E6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08A0FC7"/>
    <w:multiLevelType w:val="hybridMultilevel"/>
    <w:tmpl w:val="B9E295D6"/>
    <w:lvl w:ilvl="0" w:tplc="A86258C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1EC090C"/>
    <w:multiLevelType w:val="hybridMultilevel"/>
    <w:tmpl w:val="0784D7C4"/>
    <w:lvl w:ilvl="0" w:tplc="5914D7B6">
      <w:start w:val="1"/>
      <w:numFmt w:val="bullet"/>
      <w:lvlText w:val="•"/>
      <w:lvlJc w:val="left"/>
      <w:pPr>
        <w:tabs>
          <w:tab w:val="num" w:pos="720"/>
        </w:tabs>
        <w:ind w:left="720" w:hanging="360"/>
      </w:pPr>
      <w:rPr>
        <w:rFonts w:ascii="Times" w:hAnsi="Times" w:hint="default"/>
      </w:rPr>
    </w:lvl>
    <w:lvl w:ilvl="1" w:tplc="04090001">
      <w:start w:val="1"/>
      <w:numFmt w:val="bullet"/>
      <w:lvlText w:val=""/>
      <w:lvlJc w:val="left"/>
      <w:pPr>
        <w:tabs>
          <w:tab w:val="num" w:pos="1260"/>
        </w:tabs>
        <w:ind w:left="1260" w:hanging="360"/>
      </w:pPr>
      <w:rPr>
        <w:rFonts w:ascii="Symbol" w:hAnsi="Symbol" w:hint="default"/>
      </w:rPr>
    </w:lvl>
    <w:lvl w:ilvl="2" w:tplc="ADC4B2AA">
      <w:start w:val="1"/>
      <w:numFmt w:val="bullet"/>
      <w:lvlText w:val="•"/>
      <w:lvlJc w:val="left"/>
      <w:pPr>
        <w:tabs>
          <w:tab w:val="num" w:pos="2160"/>
        </w:tabs>
        <w:ind w:left="2160" w:hanging="360"/>
      </w:pPr>
      <w:rPr>
        <w:rFonts w:ascii="Times" w:hAnsi="Times" w:hint="default"/>
      </w:rPr>
    </w:lvl>
    <w:lvl w:ilvl="3" w:tplc="CDEC666E" w:tentative="1">
      <w:start w:val="1"/>
      <w:numFmt w:val="bullet"/>
      <w:lvlText w:val="•"/>
      <w:lvlJc w:val="left"/>
      <w:pPr>
        <w:tabs>
          <w:tab w:val="num" w:pos="2880"/>
        </w:tabs>
        <w:ind w:left="2880" w:hanging="360"/>
      </w:pPr>
      <w:rPr>
        <w:rFonts w:ascii="Times" w:hAnsi="Times" w:hint="default"/>
      </w:rPr>
    </w:lvl>
    <w:lvl w:ilvl="4" w:tplc="09C8A2F2" w:tentative="1">
      <w:start w:val="1"/>
      <w:numFmt w:val="bullet"/>
      <w:lvlText w:val="•"/>
      <w:lvlJc w:val="left"/>
      <w:pPr>
        <w:tabs>
          <w:tab w:val="num" w:pos="3600"/>
        </w:tabs>
        <w:ind w:left="3600" w:hanging="360"/>
      </w:pPr>
      <w:rPr>
        <w:rFonts w:ascii="Times" w:hAnsi="Times" w:hint="default"/>
      </w:rPr>
    </w:lvl>
    <w:lvl w:ilvl="5" w:tplc="CBA624CC" w:tentative="1">
      <w:start w:val="1"/>
      <w:numFmt w:val="bullet"/>
      <w:lvlText w:val="•"/>
      <w:lvlJc w:val="left"/>
      <w:pPr>
        <w:tabs>
          <w:tab w:val="num" w:pos="4320"/>
        </w:tabs>
        <w:ind w:left="4320" w:hanging="360"/>
      </w:pPr>
      <w:rPr>
        <w:rFonts w:ascii="Times" w:hAnsi="Times" w:hint="default"/>
      </w:rPr>
    </w:lvl>
    <w:lvl w:ilvl="6" w:tplc="22125DA2" w:tentative="1">
      <w:start w:val="1"/>
      <w:numFmt w:val="bullet"/>
      <w:lvlText w:val="•"/>
      <w:lvlJc w:val="left"/>
      <w:pPr>
        <w:tabs>
          <w:tab w:val="num" w:pos="5040"/>
        </w:tabs>
        <w:ind w:left="5040" w:hanging="360"/>
      </w:pPr>
      <w:rPr>
        <w:rFonts w:ascii="Times" w:hAnsi="Times" w:hint="default"/>
      </w:rPr>
    </w:lvl>
    <w:lvl w:ilvl="7" w:tplc="9E98AAA8" w:tentative="1">
      <w:start w:val="1"/>
      <w:numFmt w:val="bullet"/>
      <w:lvlText w:val="•"/>
      <w:lvlJc w:val="left"/>
      <w:pPr>
        <w:tabs>
          <w:tab w:val="num" w:pos="5760"/>
        </w:tabs>
        <w:ind w:left="5760" w:hanging="360"/>
      </w:pPr>
      <w:rPr>
        <w:rFonts w:ascii="Times" w:hAnsi="Times" w:hint="default"/>
      </w:rPr>
    </w:lvl>
    <w:lvl w:ilvl="8" w:tplc="A10A89FA" w:tentative="1">
      <w:start w:val="1"/>
      <w:numFmt w:val="bullet"/>
      <w:lvlText w:val="•"/>
      <w:lvlJc w:val="left"/>
      <w:pPr>
        <w:tabs>
          <w:tab w:val="num" w:pos="6480"/>
        </w:tabs>
        <w:ind w:left="6480" w:hanging="360"/>
      </w:pPr>
      <w:rPr>
        <w:rFonts w:ascii="Times" w:hAnsi="Times" w:hint="default"/>
      </w:rPr>
    </w:lvl>
  </w:abstractNum>
  <w:abstractNum w:abstractNumId="15">
    <w:nsid w:val="22CB04E6"/>
    <w:multiLevelType w:val="hybridMultilevel"/>
    <w:tmpl w:val="355EA5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7385942"/>
    <w:multiLevelType w:val="hybridMultilevel"/>
    <w:tmpl w:val="EC5E5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EE1629"/>
    <w:multiLevelType w:val="multilevel"/>
    <w:tmpl w:val="8B945634"/>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2912E42"/>
    <w:multiLevelType w:val="hybridMultilevel"/>
    <w:tmpl w:val="A24A5A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6AE628C"/>
    <w:multiLevelType w:val="hybridMultilevel"/>
    <w:tmpl w:val="4B0A41F4"/>
    <w:lvl w:ilvl="0" w:tplc="8EA0027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86D13"/>
    <w:multiLevelType w:val="hybridMultilevel"/>
    <w:tmpl w:val="99BA15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3C52577F"/>
    <w:multiLevelType w:val="hybridMultilevel"/>
    <w:tmpl w:val="D1C88E34"/>
    <w:lvl w:ilvl="0" w:tplc="5914D7B6">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9D33C3"/>
    <w:multiLevelType w:val="hybridMultilevel"/>
    <w:tmpl w:val="FF027630"/>
    <w:lvl w:ilvl="0" w:tplc="77F2ECDE">
      <w:start w:val="1"/>
      <w:numFmt w:val="bullet"/>
      <w:lvlText w:val="•"/>
      <w:lvlJc w:val="left"/>
      <w:pPr>
        <w:ind w:left="1080" w:hanging="360"/>
      </w:pPr>
      <w:rPr>
        <w:rFonts w:ascii="Verdana" w:hAnsi="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2910723"/>
    <w:multiLevelType w:val="hybridMultilevel"/>
    <w:tmpl w:val="0F56DC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3F67335"/>
    <w:multiLevelType w:val="hybridMultilevel"/>
    <w:tmpl w:val="CFAEE008"/>
    <w:lvl w:ilvl="0" w:tplc="F8CE991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8A2501"/>
    <w:multiLevelType w:val="hybridMultilevel"/>
    <w:tmpl w:val="0E644EE6"/>
    <w:lvl w:ilvl="0" w:tplc="DBC222C0">
      <w:start w:val="1"/>
      <w:numFmt w:val="bullet"/>
      <w:lvlText w:val="•"/>
      <w:lvlJc w:val="left"/>
      <w:pPr>
        <w:ind w:left="2160" w:hanging="360"/>
      </w:pPr>
      <w:rPr>
        <w:rFonts w:ascii="Arial" w:hAnsi="Arial" w:hint="default"/>
      </w:rPr>
    </w:lvl>
    <w:lvl w:ilvl="1" w:tplc="653C4824">
      <w:start w:val="1"/>
      <w:numFmt w:val="bullet"/>
      <w:pStyle w:val="List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61DB8"/>
    <w:multiLevelType w:val="hybridMultilevel"/>
    <w:tmpl w:val="F10AA642"/>
    <w:lvl w:ilvl="0" w:tplc="C5BC4418">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31B7FB1"/>
    <w:multiLevelType w:val="hybridMultilevel"/>
    <w:tmpl w:val="F1BAF748"/>
    <w:lvl w:ilvl="0" w:tplc="5914D7B6">
      <w:start w:val="1"/>
      <w:numFmt w:val="bullet"/>
      <w:lvlText w:val="•"/>
      <w:lvlJc w:val="left"/>
      <w:pPr>
        <w:tabs>
          <w:tab w:val="num" w:pos="720"/>
        </w:tabs>
        <w:ind w:left="720" w:hanging="360"/>
      </w:pPr>
      <w:rPr>
        <w:rFonts w:ascii="Times" w:hAnsi="Times" w:hint="default"/>
      </w:rPr>
    </w:lvl>
    <w:lvl w:ilvl="1" w:tplc="04090001">
      <w:start w:val="1"/>
      <w:numFmt w:val="bullet"/>
      <w:lvlText w:val=""/>
      <w:lvlJc w:val="left"/>
      <w:pPr>
        <w:tabs>
          <w:tab w:val="num" w:pos="1260"/>
        </w:tabs>
        <w:ind w:left="1260" w:hanging="360"/>
      </w:pPr>
      <w:rPr>
        <w:rFonts w:ascii="Symbol" w:hAnsi="Symbol" w:hint="default"/>
      </w:rPr>
    </w:lvl>
    <w:lvl w:ilvl="2" w:tplc="ADC4B2AA">
      <w:start w:val="1"/>
      <w:numFmt w:val="bullet"/>
      <w:lvlText w:val="•"/>
      <w:lvlJc w:val="left"/>
      <w:pPr>
        <w:tabs>
          <w:tab w:val="num" w:pos="2160"/>
        </w:tabs>
        <w:ind w:left="2160" w:hanging="360"/>
      </w:pPr>
      <w:rPr>
        <w:rFonts w:ascii="Times" w:hAnsi="Times" w:hint="default"/>
      </w:rPr>
    </w:lvl>
    <w:lvl w:ilvl="3" w:tplc="CDEC666E" w:tentative="1">
      <w:start w:val="1"/>
      <w:numFmt w:val="bullet"/>
      <w:lvlText w:val="•"/>
      <w:lvlJc w:val="left"/>
      <w:pPr>
        <w:tabs>
          <w:tab w:val="num" w:pos="2880"/>
        </w:tabs>
        <w:ind w:left="2880" w:hanging="360"/>
      </w:pPr>
      <w:rPr>
        <w:rFonts w:ascii="Times" w:hAnsi="Times" w:hint="default"/>
      </w:rPr>
    </w:lvl>
    <w:lvl w:ilvl="4" w:tplc="09C8A2F2" w:tentative="1">
      <w:start w:val="1"/>
      <w:numFmt w:val="bullet"/>
      <w:lvlText w:val="•"/>
      <w:lvlJc w:val="left"/>
      <w:pPr>
        <w:tabs>
          <w:tab w:val="num" w:pos="3600"/>
        </w:tabs>
        <w:ind w:left="3600" w:hanging="360"/>
      </w:pPr>
      <w:rPr>
        <w:rFonts w:ascii="Times" w:hAnsi="Times" w:hint="default"/>
      </w:rPr>
    </w:lvl>
    <w:lvl w:ilvl="5" w:tplc="CBA624CC" w:tentative="1">
      <w:start w:val="1"/>
      <w:numFmt w:val="bullet"/>
      <w:lvlText w:val="•"/>
      <w:lvlJc w:val="left"/>
      <w:pPr>
        <w:tabs>
          <w:tab w:val="num" w:pos="4320"/>
        </w:tabs>
        <w:ind w:left="4320" w:hanging="360"/>
      </w:pPr>
      <w:rPr>
        <w:rFonts w:ascii="Times" w:hAnsi="Times" w:hint="default"/>
      </w:rPr>
    </w:lvl>
    <w:lvl w:ilvl="6" w:tplc="22125DA2" w:tentative="1">
      <w:start w:val="1"/>
      <w:numFmt w:val="bullet"/>
      <w:lvlText w:val="•"/>
      <w:lvlJc w:val="left"/>
      <w:pPr>
        <w:tabs>
          <w:tab w:val="num" w:pos="5040"/>
        </w:tabs>
        <w:ind w:left="5040" w:hanging="360"/>
      </w:pPr>
      <w:rPr>
        <w:rFonts w:ascii="Times" w:hAnsi="Times" w:hint="default"/>
      </w:rPr>
    </w:lvl>
    <w:lvl w:ilvl="7" w:tplc="9E98AAA8" w:tentative="1">
      <w:start w:val="1"/>
      <w:numFmt w:val="bullet"/>
      <w:lvlText w:val="•"/>
      <w:lvlJc w:val="left"/>
      <w:pPr>
        <w:tabs>
          <w:tab w:val="num" w:pos="5760"/>
        </w:tabs>
        <w:ind w:left="5760" w:hanging="360"/>
      </w:pPr>
      <w:rPr>
        <w:rFonts w:ascii="Times" w:hAnsi="Times" w:hint="default"/>
      </w:rPr>
    </w:lvl>
    <w:lvl w:ilvl="8" w:tplc="A10A89FA" w:tentative="1">
      <w:start w:val="1"/>
      <w:numFmt w:val="bullet"/>
      <w:lvlText w:val="•"/>
      <w:lvlJc w:val="left"/>
      <w:pPr>
        <w:tabs>
          <w:tab w:val="num" w:pos="6480"/>
        </w:tabs>
        <w:ind w:left="6480" w:hanging="360"/>
      </w:pPr>
      <w:rPr>
        <w:rFonts w:ascii="Times" w:hAnsi="Times" w:hint="default"/>
      </w:rPr>
    </w:lvl>
  </w:abstractNum>
  <w:abstractNum w:abstractNumId="28">
    <w:nsid w:val="53524841"/>
    <w:multiLevelType w:val="hybridMultilevel"/>
    <w:tmpl w:val="2E3039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58D4BA6"/>
    <w:multiLevelType w:val="hybridMultilevel"/>
    <w:tmpl w:val="ED86EA4E"/>
    <w:lvl w:ilvl="0" w:tplc="5914D7B6">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583055"/>
    <w:multiLevelType w:val="hybridMultilevel"/>
    <w:tmpl w:val="BBA8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276883"/>
    <w:multiLevelType w:val="hybridMultilevel"/>
    <w:tmpl w:val="8B945634"/>
    <w:lvl w:ilvl="0" w:tplc="F8CE991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C75B0F"/>
    <w:multiLevelType w:val="hybridMultilevel"/>
    <w:tmpl w:val="BFCCAACA"/>
    <w:lvl w:ilvl="0" w:tplc="BC00C63E">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0E6D92"/>
    <w:multiLevelType w:val="hybridMultilevel"/>
    <w:tmpl w:val="E722B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447A8C"/>
    <w:multiLevelType w:val="hybridMultilevel"/>
    <w:tmpl w:val="4AC6E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C0E7187"/>
    <w:multiLevelType w:val="hybridMultilevel"/>
    <w:tmpl w:val="29889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334EC1"/>
    <w:multiLevelType w:val="hybridMultilevel"/>
    <w:tmpl w:val="02D0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3"/>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5"/>
  </w:num>
  <w:num w:numId="17">
    <w:abstractNumId w:val="32"/>
  </w:num>
  <w:num w:numId="18">
    <w:abstractNumId w:val="11"/>
  </w:num>
  <w:num w:numId="19">
    <w:abstractNumId w:val="36"/>
  </w:num>
  <w:num w:numId="20">
    <w:abstractNumId w:val="33"/>
  </w:num>
  <w:num w:numId="21">
    <w:abstractNumId w:val="35"/>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4"/>
  </w:num>
  <w:num w:numId="26">
    <w:abstractNumId w:val="31"/>
  </w:num>
  <w:num w:numId="27">
    <w:abstractNumId w:val="17"/>
  </w:num>
  <w:num w:numId="28">
    <w:abstractNumId w:val="16"/>
  </w:num>
  <w:num w:numId="29">
    <w:abstractNumId w:val="30"/>
  </w:num>
  <w:num w:numId="30">
    <w:abstractNumId w:val="19"/>
  </w:num>
  <w:num w:numId="31">
    <w:abstractNumId w:val="21"/>
  </w:num>
  <w:num w:numId="32">
    <w:abstractNumId w:val="29"/>
  </w:num>
  <w:num w:numId="33">
    <w:abstractNumId w:val="27"/>
  </w:num>
  <w:num w:numId="34">
    <w:abstractNumId w:val="14"/>
  </w:num>
  <w:num w:numId="35">
    <w:abstractNumId w:val="10"/>
  </w:num>
  <w:num w:numId="36">
    <w:abstractNumId w:val="34"/>
  </w:num>
  <w:num w:numId="37">
    <w:abstractNumId w:val="28"/>
  </w:num>
  <w:num w:numId="38">
    <w:abstractNumId w:val="18"/>
  </w:num>
  <w:num w:numId="39">
    <w:abstractNumId w:val="2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52225">
      <o:colormru v:ext="edit" colors="#0a357e"/>
    </o:shapedefaults>
  </w:hdrShapeDefaults>
  <w:footnotePr>
    <w:numRestart w:val="eachPage"/>
    <w:footnote w:id="-1"/>
    <w:footnote w:id="0"/>
  </w:footnotePr>
  <w:endnotePr>
    <w:endnote w:id="-1"/>
    <w:endnote w:id="0"/>
  </w:endnotePr>
  <w:compat>
    <w:compatSetting w:name="compatibilityMode" w:uri="http://schemas.microsoft.com/office/word" w:val="12"/>
  </w:compat>
  <w:rsids>
    <w:rsidRoot w:val="0047700F"/>
    <w:rsid w:val="000030A1"/>
    <w:rsid w:val="00020E54"/>
    <w:rsid w:val="000236D5"/>
    <w:rsid w:val="00024C02"/>
    <w:rsid w:val="00043D63"/>
    <w:rsid w:val="0006122B"/>
    <w:rsid w:val="00061C0E"/>
    <w:rsid w:val="00070DCC"/>
    <w:rsid w:val="00085601"/>
    <w:rsid w:val="000952E3"/>
    <w:rsid w:val="000F2A00"/>
    <w:rsid w:val="000F7E66"/>
    <w:rsid w:val="001102FA"/>
    <w:rsid w:val="00147051"/>
    <w:rsid w:val="00171EE2"/>
    <w:rsid w:val="00172893"/>
    <w:rsid w:val="00181BD9"/>
    <w:rsid w:val="001839B6"/>
    <w:rsid w:val="001840F9"/>
    <w:rsid w:val="001922E6"/>
    <w:rsid w:val="00192B02"/>
    <w:rsid w:val="001A4212"/>
    <w:rsid w:val="001A7E3E"/>
    <w:rsid w:val="001B2ABF"/>
    <w:rsid w:val="001C367A"/>
    <w:rsid w:val="001E085F"/>
    <w:rsid w:val="0020733B"/>
    <w:rsid w:val="00215755"/>
    <w:rsid w:val="0022019B"/>
    <w:rsid w:val="00225C27"/>
    <w:rsid w:val="002475CA"/>
    <w:rsid w:val="00261E55"/>
    <w:rsid w:val="00267C78"/>
    <w:rsid w:val="00275394"/>
    <w:rsid w:val="002A120A"/>
    <w:rsid w:val="002B0E85"/>
    <w:rsid w:val="002B556B"/>
    <w:rsid w:val="002B661D"/>
    <w:rsid w:val="002C4829"/>
    <w:rsid w:val="002D0DCE"/>
    <w:rsid w:val="002E748D"/>
    <w:rsid w:val="002F2B32"/>
    <w:rsid w:val="002F3A85"/>
    <w:rsid w:val="002F5A93"/>
    <w:rsid w:val="003511DD"/>
    <w:rsid w:val="00351250"/>
    <w:rsid w:val="00352F26"/>
    <w:rsid w:val="003719CA"/>
    <w:rsid w:val="003834C5"/>
    <w:rsid w:val="00384CBF"/>
    <w:rsid w:val="00387DCB"/>
    <w:rsid w:val="003A1E43"/>
    <w:rsid w:val="003C7FB8"/>
    <w:rsid w:val="003D4332"/>
    <w:rsid w:val="003D6636"/>
    <w:rsid w:val="003D74E1"/>
    <w:rsid w:val="003D756E"/>
    <w:rsid w:val="003E70E6"/>
    <w:rsid w:val="003F4CA0"/>
    <w:rsid w:val="004037D6"/>
    <w:rsid w:val="00410FDA"/>
    <w:rsid w:val="00432440"/>
    <w:rsid w:val="0044664F"/>
    <w:rsid w:val="004615C1"/>
    <w:rsid w:val="00461C6A"/>
    <w:rsid w:val="00461F81"/>
    <w:rsid w:val="0047580D"/>
    <w:rsid w:val="0047700F"/>
    <w:rsid w:val="00495315"/>
    <w:rsid w:val="004974CB"/>
    <w:rsid w:val="004A3507"/>
    <w:rsid w:val="004B0CD5"/>
    <w:rsid w:val="004B1939"/>
    <w:rsid w:val="004E1A99"/>
    <w:rsid w:val="00521005"/>
    <w:rsid w:val="0054376F"/>
    <w:rsid w:val="00576473"/>
    <w:rsid w:val="00583BA1"/>
    <w:rsid w:val="005B2400"/>
    <w:rsid w:val="005B66D9"/>
    <w:rsid w:val="005C770D"/>
    <w:rsid w:val="005D0F9F"/>
    <w:rsid w:val="005D5AB9"/>
    <w:rsid w:val="005E0F9D"/>
    <w:rsid w:val="00601949"/>
    <w:rsid w:val="006103A0"/>
    <w:rsid w:val="006249AF"/>
    <w:rsid w:val="00630237"/>
    <w:rsid w:val="006548A5"/>
    <w:rsid w:val="00655A31"/>
    <w:rsid w:val="00655D00"/>
    <w:rsid w:val="0067409D"/>
    <w:rsid w:val="006777A2"/>
    <w:rsid w:val="00677D7E"/>
    <w:rsid w:val="00680542"/>
    <w:rsid w:val="00686E72"/>
    <w:rsid w:val="00687185"/>
    <w:rsid w:val="006A3134"/>
    <w:rsid w:val="006A76C8"/>
    <w:rsid w:val="006B68A3"/>
    <w:rsid w:val="006C6366"/>
    <w:rsid w:val="006D2B9D"/>
    <w:rsid w:val="006D30BF"/>
    <w:rsid w:val="006D6B5B"/>
    <w:rsid w:val="006E4837"/>
    <w:rsid w:val="006F0051"/>
    <w:rsid w:val="00707B6B"/>
    <w:rsid w:val="00737C1F"/>
    <w:rsid w:val="00760962"/>
    <w:rsid w:val="00762E6B"/>
    <w:rsid w:val="00776527"/>
    <w:rsid w:val="00782F97"/>
    <w:rsid w:val="007A4184"/>
    <w:rsid w:val="007A4C40"/>
    <w:rsid w:val="007B51F6"/>
    <w:rsid w:val="007D4E4E"/>
    <w:rsid w:val="007D65F9"/>
    <w:rsid w:val="007F4AB5"/>
    <w:rsid w:val="008107AA"/>
    <w:rsid w:val="00811427"/>
    <w:rsid w:val="00813404"/>
    <w:rsid w:val="00816CD9"/>
    <w:rsid w:val="008172C0"/>
    <w:rsid w:val="008208EA"/>
    <w:rsid w:val="00831D34"/>
    <w:rsid w:val="0083205B"/>
    <w:rsid w:val="008505C1"/>
    <w:rsid w:val="00853020"/>
    <w:rsid w:val="00853576"/>
    <w:rsid w:val="00871F6B"/>
    <w:rsid w:val="008909F4"/>
    <w:rsid w:val="008936A2"/>
    <w:rsid w:val="00893B47"/>
    <w:rsid w:val="008A1BDC"/>
    <w:rsid w:val="008A2242"/>
    <w:rsid w:val="008A50D2"/>
    <w:rsid w:val="008B4029"/>
    <w:rsid w:val="008C549F"/>
    <w:rsid w:val="008E79A0"/>
    <w:rsid w:val="008F01FC"/>
    <w:rsid w:val="008F32A4"/>
    <w:rsid w:val="008F5472"/>
    <w:rsid w:val="009057AD"/>
    <w:rsid w:val="00916DA5"/>
    <w:rsid w:val="00916FD1"/>
    <w:rsid w:val="00930337"/>
    <w:rsid w:val="0093356A"/>
    <w:rsid w:val="009441CB"/>
    <w:rsid w:val="00945907"/>
    <w:rsid w:val="00956F93"/>
    <w:rsid w:val="009625B4"/>
    <w:rsid w:val="00964504"/>
    <w:rsid w:val="00967313"/>
    <w:rsid w:val="009732EB"/>
    <w:rsid w:val="009A00C6"/>
    <w:rsid w:val="009A11C8"/>
    <w:rsid w:val="009B046A"/>
    <w:rsid w:val="009C4F88"/>
    <w:rsid w:val="009F438A"/>
    <w:rsid w:val="00A00B8D"/>
    <w:rsid w:val="00A0799B"/>
    <w:rsid w:val="00A37819"/>
    <w:rsid w:val="00A71FF4"/>
    <w:rsid w:val="00A74749"/>
    <w:rsid w:val="00A777A9"/>
    <w:rsid w:val="00A817F0"/>
    <w:rsid w:val="00A910D3"/>
    <w:rsid w:val="00A95F89"/>
    <w:rsid w:val="00A976C8"/>
    <w:rsid w:val="00AB7490"/>
    <w:rsid w:val="00AC22B7"/>
    <w:rsid w:val="00AC3AED"/>
    <w:rsid w:val="00B026E2"/>
    <w:rsid w:val="00B04E50"/>
    <w:rsid w:val="00B138B4"/>
    <w:rsid w:val="00B15E92"/>
    <w:rsid w:val="00B22B7C"/>
    <w:rsid w:val="00B3147D"/>
    <w:rsid w:val="00B4324D"/>
    <w:rsid w:val="00B566CC"/>
    <w:rsid w:val="00B90993"/>
    <w:rsid w:val="00BB256C"/>
    <w:rsid w:val="00BC2F4B"/>
    <w:rsid w:val="00BC739C"/>
    <w:rsid w:val="00BF148A"/>
    <w:rsid w:val="00C0158A"/>
    <w:rsid w:val="00C116CF"/>
    <w:rsid w:val="00C15506"/>
    <w:rsid w:val="00C22A94"/>
    <w:rsid w:val="00C319BD"/>
    <w:rsid w:val="00C32951"/>
    <w:rsid w:val="00C35B44"/>
    <w:rsid w:val="00C40C17"/>
    <w:rsid w:val="00C741E6"/>
    <w:rsid w:val="00C77162"/>
    <w:rsid w:val="00C80DEF"/>
    <w:rsid w:val="00C849F7"/>
    <w:rsid w:val="00CA3498"/>
    <w:rsid w:val="00CA7B69"/>
    <w:rsid w:val="00CC31F5"/>
    <w:rsid w:val="00CC3FD5"/>
    <w:rsid w:val="00CC4F84"/>
    <w:rsid w:val="00CC68DE"/>
    <w:rsid w:val="00CD193E"/>
    <w:rsid w:val="00CD46F9"/>
    <w:rsid w:val="00CF79BC"/>
    <w:rsid w:val="00D0184C"/>
    <w:rsid w:val="00D127FC"/>
    <w:rsid w:val="00D23AB5"/>
    <w:rsid w:val="00D24253"/>
    <w:rsid w:val="00D40242"/>
    <w:rsid w:val="00D442C3"/>
    <w:rsid w:val="00D54559"/>
    <w:rsid w:val="00D617FB"/>
    <w:rsid w:val="00D67283"/>
    <w:rsid w:val="00D74D4A"/>
    <w:rsid w:val="00D86D69"/>
    <w:rsid w:val="00D9017F"/>
    <w:rsid w:val="00D90648"/>
    <w:rsid w:val="00DA02E2"/>
    <w:rsid w:val="00DB5912"/>
    <w:rsid w:val="00DF3EE3"/>
    <w:rsid w:val="00E167BD"/>
    <w:rsid w:val="00E33DFF"/>
    <w:rsid w:val="00EB61D3"/>
    <w:rsid w:val="00EB7B19"/>
    <w:rsid w:val="00EC102B"/>
    <w:rsid w:val="00EC220A"/>
    <w:rsid w:val="00EE4D02"/>
    <w:rsid w:val="00EF2CCC"/>
    <w:rsid w:val="00F03027"/>
    <w:rsid w:val="00F05126"/>
    <w:rsid w:val="00F06437"/>
    <w:rsid w:val="00F277DE"/>
    <w:rsid w:val="00F362C9"/>
    <w:rsid w:val="00F57F9F"/>
    <w:rsid w:val="00F67210"/>
    <w:rsid w:val="00F775D5"/>
    <w:rsid w:val="00F86B98"/>
    <w:rsid w:val="00F974C3"/>
    <w:rsid w:val="00FA7910"/>
    <w:rsid w:val="00FB5BD5"/>
    <w:rsid w:val="00FD07D4"/>
    <w:rsid w:val="00FD78B4"/>
    <w:rsid w:val="00FE5E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o:colormru v:ext="edit" colors="#0a357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annotation text" w:uiPriority="99"/>
    <w:lsdException w:name="caption" w:semiHidden="1" w:unhideWhenUsed="1" w:qFormat="1"/>
    <w:lsdException w:name="annotation reference" w:uiPriority="99"/>
    <w:lsdException w:name="toa heading" w:semiHidden="1" w:unhideWhenUsed="1"/>
    <w:lsdException w:name="List Bullet" w:uiPriority="99"/>
    <w:lsdException w:name="List Number" w:uiPriority="99"/>
    <w:lsdException w:name="List Bullet 2" w:uiPriority="99"/>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0CD5"/>
    <w:rPr>
      <w:rFonts w:ascii="Times New Roman" w:hAnsi="Times New Roman"/>
      <w:szCs w:val="22"/>
    </w:rPr>
  </w:style>
  <w:style w:type="paragraph" w:styleId="Heading1">
    <w:name w:val="heading 1"/>
    <w:basedOn w:val="Normal"/>
    <w:next w:val="BodyText"/>
    <w:qFormat/>
    <w:rsid w:val="001A4212"/>
    <w:pPr>
      <w:keepNext/>
      <w:tabs>
        <w:tab w:val="center" w:pos="-1699"/>
        <w:tab w:val="left" w:pos="0"/>
      </w:tabs>
      <w:spacing w:before="240" w:after="240"/>
      <w:outlineLvl w:val="0"/>
    </w:pPr>
    <w:rPr>
      <w:rFonts w:ascii="Arial Black" w:hAnsi="Arial Black"/>
      <w:kern w:val="28"/>
      <w:sz w:val="28"/>
      <w:szCs w:val="28"/>
    </w:rPr>
  </w:style>
  <w:style w:type="paragraph" w:styleId="Heading2">
    <w:name w:val="heading 2"/>
    <w:basedOn w:val="Normal"/>
    <w:next w:val="BodyText"/>
    <w:qFormat/>
    <w:rsid w:val="00B90993"/>
    <w:pPr>
      <w:keepNext/>
      <w:pBdr>
        <w:top w:val="single" w:sz="6" w:space="6" w:color="auto"/>
      </w:pBdr>
      <w:spacing w:before="200" w:after="80"/>
      <w:outlineLvl w:val="1"/>
    </w:pPr>
    <w:rPr>
      <w:rFonts w:ascii="Arial Black" w:hAnsi="Arial Black"/>
      <w:caps/>
      <w:sz w:val="26"/>
      <w:szCs w:val="26"/>
    </w:rPr>
  </w:style>
  <w:style w:type="paragraph" w:styleId="Heading3">
    <w:name w:val="heading 3"/>
    <w:basedOn w:val="Normal"/>
    <w:next w:val="Normal"/>
    <w:qFormat/>
    <w:rsid w:val="00B90993"/>
    <w:pPr>
      <w:keepNext/>
      <w:tabs>
        <w:tab w:val="right" w:pos="-259"/>
      </w:tabs>
      <w:spacing w:before="200" w:after="80"/>
      <w:outlineLvl w:val="2"/>
    </w:pPr>
    <w:rPr>
      <w:rFonts w:ascii="Arial Black" w:hAnsi="Arial Black"/>
      <w:iCs/>
    </w:rPr>
  </w:style>
  <w:style w:type="paragraph" w:styleId="Heading4">
    <w:name w:val="heading 4"/>
    <w:basedOn w:val="Normal"/>
    <w:next w:val="BodyText"/>
    <w:qFormat/>
    <w:rsid w:val="00B90993"/>
    <w:pPr>
      <w:keepNext/>
      <w:spacing w:before="200" w:after="80"/>
      <w:outlineLvl w:val="3"/>
    </w:pPr>
    <w:rPr>
      <w:rFonts w:ascii="Arial Black" w:hAnsi="Arial Black"/>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47580D"/>
    <w:rPr>
      <w:szCs w:val="24"/>
    </w:rPr>
  </w:style>
  <w:style w:type="paragraph" w:styleId="TOC2">
    <w:name w:val="toc 2"/>
    <w:basedOn w:val="Normal"/>
    <w:next w:val="Normal"/>
    <w:autoRedefine/>
    <w:semiHidden/>
    <w:unhideWhenUsed/>
    <w:rsid w:val="001A4212"/>
    <w:pPr>
      <w:tabs>
        <w:tab w:val="right" w:leader="dot" w:pos="6480"/>
      </w:tabs>
      <w:spacing w:before="160"/>
      <w:ind w:left="1080" w:right="720" w:hanging="540"/>
    </w:pPr>
  </w:style>
  <w:style w:type="paragraph" w:styleId="TOC4">
    <w:name w:val="toc 4"/>
    <w:basedOn w:val="TOC3"/>
    <w:next w:val="Normal"/>
    <w:autoRedefine/>
    <w:semiHidden/>
    <w:unhideWhenUsed/>
    <w:rsid w:val="001A4212"/>
    <w:pPr>
      <w:ind w:firstLine="0"/>
    </w:pPr>
    <w:rPr>
      <w:i/>
      <w:iCs/>
    </w:rPr>
  </w:style>
  <w:style w:type="paragraph" w:styleId="TOC3">
    <w:name w:val="toc 3"/>
    <w:basedOn w:val="Normal"/>
    <w:next w:val="Normal"/>
    <w:autoRedefine/>
    <w:semiHidden/>
    <w:unhideWhenUsed/>
    <w:rsid w:val="001A4212"/>
    <w:pPr>
      <w:tabs>
        <w:tab w:val="right" w:leader="dot" w:pos="6480"/>
      </w:tabs>
      <w:spacing w:before="80"/>
      <w:ind w:left="1800" w:right="720" w:hanging="720"/>
    </w:pPr>
  </w:style>
  <w:style w:type="paragraph" w:styleId="TOC1">
    <w:name w:val="toc 1"/>
    <w:basedOn w:val="Normal"/>
    <w:next w:val="Normal"/>
    <w:semiHidden/>
    <w:unhideWhenUsed/>
    <w:rsid w:val="001A4212"/>
    <w:pPr>
      <w:tabs>
        <w:tab w:val="right" w:pos="6480"/>
      </w:tabs>
      <w:spacing w:before="320"/>
      <w:ind w:left="540" w:right="720" w:hanging="540"/>
    </w:pPr>
    <w:rPr>
      <w:rFonts w:ascii="Arial Black" w:hAnsi="Arial Black"/>
    </w:rPr>
  </w:style>
  <w:style w:type="character" w:styleId="LineNumber">
    <w:name w:val="line number"/>
    <w:basedOn w:val="DefaultParagraphFont"/>
    <w:semiHidden/>
    <w:rsid w:val="001A4212"/>
  </w:style>
  <w:style w:type="paragraph" w:styleId="Footer">
    <w:name w:val="footer"/>
    <w:basedOn w:val="Normal"/>
    <w:next w:val="Normal"/>
    <w:rsid w:val="001A4212"/>
    <w:rPr>
      <w:szCs w:val="20"/>
    </w:rPr>
  </w:style>
  <w:style w:type="paragraph" w:styleId="Header">
    <w:name w:val="header"/>
    <w:basedOn w:val="Normal"/>
    <w:next w:val="Normal"/>
    <w:rsid w:val="001A4212"/>
    <w:rPr>
      <w:iCs/>
      <w:szCs w:val="18"/>
    </w:rPr>
  </w:style>
  <w:style w:type="character" w:styleId="FootnoteReference">
    <w:name w:val="footnote reference"/>
    <w:semiHidden/>
    <w:rsid w:val="00351250"/>
    <w:rPr>
      <w:position w:val="6"/>
      <w:sz w:val="18"/>
      <w:szCs w:val="16"/>
    </w:rPr>
  </w:style>
  <w:style w:type="paragraph" w:styleId="FootnoteText">
    <w:name w:val="footnote text"/>
    <w:basedOn w:val="Normal"/>
    <w:semiHidden/>
    <w:rsid w:val="00351250"/>
    <w:pPr>
      <w:ind w:left="216" w:hanging="216"/>
    </w:pPr>
    <w:rPr>
      <w:sz w:val="18"/>
      <w:szCs w:val="18"/>
    </w:rPr>
  </w:style>
  <w:style w:type="character" w:styleId="PageNumber">
    <w:name w:val="page number"/>
    <w:rsid w:val="001A4212"/>
    <w:rPr>
      <w:rFonts w:ascii="Arial Black" w:hAnsi="Arial Black"/>
      <w:sz w:val="20"/>
      <w:szCs w:val="20"/>
    </w:rPr>
  </w:style>
  <w:style w:type="paragraph" w:styleId="Closing">
    <w:name w:val="Closing"/>
    <w:basedOn w:val="Normal"/>
    <w:link w:val="ClosingChar"/>
    <w:rsid w:val="004B1939"/>
    <w:pPr>
      <w:spacing w:after="720"/>
      <w:ind w:left="4680"/>
    </w:pPr>
  </w:style>
  <w:style w:type="character" w:customStyle="1" w:styleId="ClosingChar">
    <w:name w:val="Closing Char"/>
    <w:link w:val="Closing"/>
    <w:rsid w:val="004B1939"/>
    <w:rPr>
      <w:rFonts w:ascii="Times New Roman" w:hAnsi="Times New Roman"/>
      <w:sz w:val="24"/>
      <w:szCs w:val="22"/>
    </w:rPr>
  </w:style>
  <w:style w:type="paragraph" w:styleId="Salutation">
    <w:name w:val="Salutation"/>
    <w:basedOn w:val="Normal"/>
    <w:next w:val="Normal"/>
    <w:rsid w:val="0047580D"/>
    <w:pPr>
      <w:tabs>
        <w:tab w:val="left" w:pos="4680"/>
      </w:tabs>
      <w:spacing w:before="240" w:after="240"/>
    </w:pPr>
    <w:rPr>
      <w:szCs w:val="24"/>
    </w:rPr>
  </w:style>
  <w:style w:type="paragraph" w:styleId="Date">
    <w:name w:val="Date"/>
    <w:basedOn w:val="Normal"/>
    <w:next w:val="Normal"/>
    <w:link w:val="DateChar"/>
    <w:rsid w:val="002B556B"/>
    <w:pPr>
      <w:spacing w:before="1440" w:after="960"/>
      <w:ind w:left="4680"/>
    </w:pPr>
  </w:style>
  <w:style w:type="character" w:customStyle="1" w:styleId="DateChar">
    <w:name w:val="Date Char"/>
    <w:link w:val="Date"/>
    <w:rsid w:val="002B556B"/>
    <w:rPr>
      <w:rFonts w:ascii="Times New Roman" w:hAnsi="Times New Roman"/>
      <w:sz w:val="24"/>
      <w:szCs w:val="22"/>
    </w:rPr>
  </w:style>
  <w:style w:type="paragraph" w:customStyle="1" w:styleId="toc0">
    <w:name w:val="toc 0"/>
    <w:basedOn w:val="Normal"/>
    <w:semiHidden/>
    <w:unhideWhenUsed/>
    <w:rsid w:val="001A4212"/>
    <w:pPr>
      <w:pBdr>
        <w:bottom w:val="single" w:sz="2" w:space="1" w:color="auto"/>
      </w:pBdr>
      <w:spacing w:after="240"/>
      <w:jc w:val="center"/>
    </w:pPr>
    <w:rPr>
      <w:rFonts w:ascii="Arial Black" w:hAnsi="Arial Black"/>
      <w:position w:val="72"/>
      <w:sz w:val="56"/>
      <w:szCs w:val="56"/>
    </w:rPr>
  </w:style>
  <w:style w:type="paragraph" w:styleId="ListBullet3">
    <w:name w:val="List Bullet 3"/>
    <w:basedOn w:val="Normal"/>
    <w:unhideWhenUsed/>
    <w:rsid w:val="0047580D"/>
    <w:pPr>
      <w:numPr>
        <w:numId w:val="7"/>
      </w:numPr>
      <w:tabs>
        <w:tab w:val="clear" w:pos="1080"/>
        <w:tab w:val="left" w:pos="1800"/>
      </w:tabs>
      <w:spacing w:after="120"/>
      <w:ind w:left="1800"/>
    </w:pPr>
  </w:style>
  <w:style w:type="paragraph" w:styleId="ListBullet">
    <w:name w:val="List Bullet"/>
    <w:basedOn w:val="Normal"/>
    <w:uiPriority w:val="99"/>
    <w:unhideWhenUsed/>
    <w:rsid w:val="00893B47"/>
    <w:pPr>
      <w:numPr>
        <w:ilvl w:val="1"/>
        <w:numId w:val="15"/>
      </w:numPr>
      <w:tabs>
        <w:tab w:val="left" w:pos="1080"/>
      </w:tabs>
      <w:spacing w:after="120"/>
      <w:ind w:left="1080"/>
      <w:contextualSpacing/>
    </w:pPr>
  </w:style>
  <w:style w:type="paragraph" w:styleId="ListBullet2">
    <w:name w:val="List Bullet 2"/>
    <w:basedOn w:val="Normal"/>
    <w:uiPriority w:val="99"/>
    <w:unhideWhenUsed/>
    <w:rsid w:val="0047580D"/>
    <w:pPr>
      <w:numPr>
        <w:numId w:val="6"/>
      </w:numPr>
      <w:tabs>
        <w:tab w:val="clear" w:pos="720"/>
      </w:tabs>
      <w:spacing w:after="120"/>
      <w:ind w:left="1440"/>
    </w:pPr>
  </w:style>
  <w:style w:type="paragraph" w:styleId="ListNumber">
    <w:name w:val="List Number"/>
    <w:basedOn w:val="Normal"/>
    <w:uiPriority w:val="99"/>
    <w:unhideWhenUsed/>
    <w:rsid w:val="008936A2"/>
    <w:pPr>
      <w:numPr>
        <w:numId w:val="17"/>
      </w:numPr>
      <w:spacing w:after="120"/>
    </w:pPr>
  </w:style>
  <w:style w:type="paragraph" w:styleId="ListContinue">
    <w:name w:val="List Continue"/>
    <w:basedOn w:val="Normal"/>
    <w:rsid w:val="00893B47"/>
    <w:pPr>
      <w:spacing w:after="160"/>
      <w:ind w:left="1440" w:hanging="360"/>
    </w:pPr>
    <w:rPr>
      <w:rFonts w:eastAsia="MS Mincho"/>
      <w:szCs w:val="24"/>
    </w:rPr>
  </w:style>
  <w:style w:type="paragraph" w:styleId="BlockText">
    <w:name w:val="Block Text"/>
    <w:basedOn w:val="Normal"/>
    <w:rsid w:val="0047580D"/>
    <w:pPr>
      <w:spacing w:after="120"/>
      <w:ind w:left="1440" w:right="1440"/>
    </w:pPr>
  </w:style>
  <w:style w:type="paragraph" w:customStyle="1" w:styleId="Figure">
    <w:name w:val="Figure"/>
    <w:basedOn w:val="Normal"/>
    <w:rsid w:val="001A4212"/>
    <w:pPr>
      <w:pBdr>
        <w:top w:val="single" w:sz="12" w:space="9" w:color="auto"/>
        <w:left w:val="single" w:sz="12" w:space="6" w:color="auto"/>
        <w:bottom w:val="single" w:sz="12" w:space="9" w:color="auto"/>
        <w:right w:val="single" w:sz="12" w:space="4" w:color="auto"/>
      </w:pBdr>
      <w:ind w:left="180" w:right="180"/>
      <w:jc w:val="center"/>
    </w:pPr>
  </w:style>
  <w:style w:type="paragraph" w:styleId="Signature">
    <w:name w:val="Signature"/>
    <w:basedOn w:val="Normal"/>
    <w:link w:val="SignatureChar"/>
    <w:rsid w:val="0047580D"/>
    <w:pPr>
      <w:ind w:left="4680"/>
    </w:pPr>
  </w:style>
  <w:style w:type="character" w:customStyle="1" w:styleId="SignatureChar">
    <w:name w:val="Signature Char"/>
    <w:link w:val="Signature"/>
    <w:rsid w:val="0047580D"/>
    <w:rPr>
      <w:rFonts w:ascii="Times New Roman" w:hAnsi="Times New Roman"/>
      <w:sz w:val="24"/>
      <w:szCs w:val="22"/>
    </w:rPr>
  </w:style>
  <w:style w:type="paragraph" w:customStyle="1" w:styleId="FigureNoBox">
    <w:name w:val="FigureNoBox"/>
    <w:basedOn w:val="Normal"/>
    <w:rsid w:val="001A4212"/>
    <w:pPr>
      <w:jc w:val="center"/>
    </w:pPr>
  </w:style>
  <w:style w:type="paragraph" w:customStyle="1" w:styleId="equation">
    <w:name w:val="equation"/>
    <w:basedOn w:val="Normal"/>
    <w:rsid w:val="001A4212"/>
    <w:pPr>
      <w:tabs>
        <w:tab w:val="center" w:pos="3240"/>
        <w:tab w:val="right" w:pos="6480"/>
      </w:tabs>
      <w:spacing w:after="160" w:line="400" w:lineRule="atLeast"/>
      <w:ind w:firstLine="720"/>
    </w:pPr>
  </w:style>
  <w:style w:type="paragraph" w:styleId="BodyText">
    <w:name w:val="Body Text"/>
    <w:basedOn w:val="Normal"/>
    <w:link w:val="BodyTextChar"/>
    <w:uiPriority w:val="99"/>
    <w:rsid w:val="004B1939"/>
    <w:pPr>
      <w:spacing w:after="160" w:line="320" w:lineRule="exact"/>
    </w:pPr>
  </w:style>
  <w:style w:type="character" w:customStyle="1" w:styleId="BodyTextChar">
    <w:name w:val="Body Text Char"/>
    <w:link w:val="BodyText"/>
    <w:uiPriority w:val="99"/>
    <w:rsid w:val="004B1939"/>
    <w:rPr>
      <w:rFonts w:ascii="Times New Roman" w:hAnsi="Times New Roman"/>
      <w:sz w:val="24"/>
      <w:szCs w:val="22"/>
    </w:rPr>
  </w:style>
  <w:style w:type="paragraph" w:styleId="Bibliography">
    <w:name w:val="Bibliography"/>
    <w:basedOn w:val="Normal"/>
    <w:next w:val="Normal"/>
    <w:uiPriority w:val="37"/>
    <w:rsid w:val="004B0CD5"/>
    <w:pPr>
      <w:keepLines/>
      <w:spacing w:after="160"/>
      <w:ind w:left="720" w:hanging="720"/>
    </w:pPr>
  </w:style>
  <w:style w:type="paragraph" w:customStyle="1" w:styleId="TableCaption">
    <w:name w:val="TableCaption"/>
    <w:basedOn w:val="Caption"/>
    <w:qFormat/>
    <w:rsid w:val="00351250"/>
  </w:style>
  <w:style w:type="paragraph" w:styleId="Caption">
    <w:name w:val="caption"/>
    <w:basedOn w:val="Normal"/>
    <w:next w:val="Normal"/>
    <w:unhideWhenUsed/>
    <w:qFormat/>
    <w:rsid w:val="00B90993"/>
    <w:pPr>
      <w:keepNext/>
      <w:keepLines/>
      <w:spacing w:before="320" w:after="120"/>
      <w:ind w:left="1296" w:hanging="1296"/>
    </w:pPr>
    <w:rPr>
      <w:rFonts w:ascii="Arial Black" w:hAnsi="Arial Black"/>
      <w:bCs/>
      <w:sz w:val="20"/>
      <w:szCs w:val="20"/>
    </w:rPr>
  </w:style>
  <w:style w:type="paragraph" w:customStyle="1" w:styleId="Source">
    <w:name w:val="Source"/>
    <w:basedOn w:val="Normal"/>
    <w:rsid w:val="00351250"/>
    <w:pPr>
      <w:keepLines/>
      <w:spacing w:before="120" w:after="360"/>
      <w:ind w:left="216" w:hanging="216"/>
    </w:pPr>
    <w:rPr>
      <w:sz w:val="18"/>
      <w:szCs w:val="18"/>
    </w:rPr>
  </w:style>
  <w:style w:type="paragraph" w:customStyle="1" w:styleId="Source2">
    <w:name w:val="Source2"/>
    <w:basedOn w:val="Normal"/>
    <w:qFormat/>
    <w:rsid w:val="00351250"/>
    <w:pPr>
      <w:spacing w:before="120" w:after="360"/>
      <w:ind w:left="720" w:hanging="720"/>
    </w:pPr>
    <w:rPr>
      <w:sz w:val="18"/>
      <w:szCs w:val="18"/>
    </w:rPr>
  </w:style>
  <w:style w:type="paragraph" w:customStyle="1" w:styleId="Enclosure">
    <w:name w:val="Enclosure"/>
    <w:basedOn w:val="Salutation"/>
    <w:qFormat/>
    <w:rsid w:val="004B0CD5"/>
  </w:style>
  <w:style w:type="paragraph" w:customStyle="1" w:styleId="FigureCaption">
    <w:name w:val="FigureCaption"/>
    <w:basedOn w:val="Caption"/>
    <w:qFormat/>
    <w:rsid w:val="004B0CD5"/>
  </w:style>
  <w:style w:type="paragraph" w:customStyle="1" w:styleId="Copy">
    <w:name w:val="Copy"/>
    <w:basedOn w:val="EnvelopeAddress"/>
    <w:qFormat/>
    <w:rsid w:val="004B0CD5"/>
    <w:pPr>
      <w:ind w:left="360" w:hanging="360"/>
    </w:pPr>
  </w:style>
  <w:style w:type="paragraph" w:customStyle="1" w:styleId="TableHeaders">
    <w:name w:val="Table Headers"/>
    <w:basedOn w:val="Normal"/>
    <w:rsid w:val="00F06437"/>
    <w:pPr>
      <w:keepNext/>
      <w:spacing w:before="80" w:after="80" w:line="240" w:lineRule="exact"/>
      <w:jc w:val="center"/>
    </w:pPr>
    <w:rPr>
      <w:rFonts w:ascii="Arial" w:hAnsi="Arial"/>
      <w:b/>
      <w:snapToGrid w:val="0"/>
      <w:sz w:val="20"/>
      <w:szCs w:val="20"/>
    </w:rPr>
  </w:style>
  <w:style w:type="paragraph" w:customStyle="1" w:styleId="TableText">
    <w:name w:val="Table Text"/>
    <w:basedOn w:val="Normal"/>
    <w:rsid w:val="00F06437"/>
    <w:pPr>
      <w:keepNext/>
      <w:spacing w:before="80" w:after="80"/>
    </w:pPr>
    <w:rPr>
      <w:rFonts w:ascii="Arial" w:hAnsi="Arial"/>
      <w:sz w:val="20"/>
    </w:rPr>
  </w:style>
  <w:style w:type="paragraph" w:styleId="NormalWeb">
    <w:name w:val="Normal (Web)"/>
    <w:basedOn w:val="Normal"/>
    <w:uiPriority w:val="99"/>
    <w:unhideWhenUsed/>
    <w:rsid w:val="00813404"/>
    <w:pPr>
      <w:spacing w:before="100" w:beforeAutospacing="1" w:after="100" w:afterAutospacing="1"/>
    </w:pPr>
    <w:rPr>
      <w:szCs w:val="24"/>
    </w:rPr>
  </w:style>
  <w:style w:type="paragraph" w:styleId="BalloonText">
    <w:name w:val="Balloon Text"/>
    <w:basedOn w:val="Normal"/>
    <w:link w:val="BalloonTextChar"/>
    <w:rsid w:val="003D74E1"/>
    <w:rPr>
      <w:rFonts w:ascii="Tahoma" w:hAnsi="Tahoma" w:cs="Tahoma"/>
      <w:sz w:val="16"/>
      <w:szCs w:val="16"/>
    </w:rPr>
  </w:style>
  <w:style w:type="character" w:customStyle="1" w:styleId="BalloonTextChar">
    <w:name w:val="Balloon Text Char"/>
    <w:basedOn w:val="DefaultParagraphFont"/>
    <w:link w:val="BalloonText"/>
    <w:rsid w:val="003D74E1"/>
    <w:rPr>
      <w:rFonts w:ascii="Tahoma" w:hAnsi="Tahoma" w:cs="Tahoma"/>
      <w:sz w:val="16"/>
      <w:szCs w:val="16"/>
    </w:rPr>
  </w:style>
  <w:style w:type="paragraph" w:styleId="ListParagraph">
    <w:name w:val="List Paragraph"/>
    <w:basedOn w:val="Normal"/>
    <w:uiPriority w:val="34"/>
    <w:qFormat/>
    <w:rsid w:val="00BB256C"/>
    <w:pPr>
      <w:ind w:left="720"/>
      <w:contextualSpacing/>
    </w:pPr>
  </w:style>
  <w:style w:type="character" w:styleId="CommentReference">
    <w:name w:val="annotation reference"/>
    <w:basedOn w:val="DefaultParagraphFont"/>
    <w:uiPriority w:val="99"/>
    <w:unhideWhenUsed/>
    <w:rsid w:val="00BB256C"/>
    <w:rPr>
      <w:sz w:val="16"/>
      <w:szCs w:val="16"/>
    </w:rPr>
  </w:style>
  <w:style w:type="paragraph" w:styleId="CommentText">
    <w:name w:val="annotation text"/>
    <w:basedOn w:val="Normal"/>
    <w:link w:val="CommentTextChar"/>
    <w:uiPriority w:val="99"/>
    <w:unhideWhenUsed/>
    <w:rsid w:val="00BB256C"/>
    <w:pPr>
      <w:spacing w:before="120" w:after="120"/>
    </w:pPr>
    <w:rPr>
      <w:rFonts w:ascii="Calibri" w:hAnsi="Calibri" w:cs="Arial"/>
      <w:sz w:val="20"/>
      <w:szCs w:val="20"/>
      <w:lang w:bidi="en-US"/>
    </w:rPr>
  </w:style>
  <w:style w:type="character" w:customStyle="1" w:styleId="CommentTextChar">
    <w:name w:val="Comment Text Char"/>
    <w:basedOn w:val="DefaultParagraphFont"/>
    <w:link w:val="CommentText"/>
    <w:uiPriority w:val="99"/>
    <w:rsid w:val="00BB256C"/>
    <w:rPr>
      <w:rFonts w:ascii="Calibri" w:hAnsi="Calibri" w:cs="Arial"/>
      <w:lang w:bidi="en-US"/>
    </w:rPr>
  </w:style>
  <w:style w:type="paragraph" w:styleId="CommentSubject">
    <w:name w:val="annotation subject"/>
    <w:basedOn w:val="CommentText"/>
    <w:next w:val="CommentText"/>
    <w:link w:val="CommentSubjectChar"/>
    <w:rsid w:val="00916DA5"/>
    <w:pPr>
      <w:spacing w:before="0" w:after="0"/>
    </w:pPr>
    <w:rPr>
      <w:rFonts w:ascii="Times New Roman" w:hAnsi="Times New Roman" w:cs="Times New Roman"/>
      <w:b/>
      <w:bCs/>
      <w:lang w:bidi="ar-SA"/>
    </w:rPr>
  </w:style>
  <w:style w:type="character" w:customStyle="1" w:styleId="CommentSubjectChar">
    <w:name w:val="Comment Subject Char"/>
    <w:basedOn w:val="CommentTextChar"/>
    <w:link w:val="CommentSubject"/>
    <w:rsid w:val="00916DA5"/>
    <w:rPr>
      <w:rFonts w:ascii="Times New Roman" w:hAnsi="Times New Roman" w:cs="Arial"/>
      <w:b/>
      <w:bCs/>
      <w:lang w:bidi="en-US"/>
    </w:rPr>
  </w:style>
  <w:style w:type="paragraph" w:styleId="Title">
    <w:name w:val="Title"/>
    <w:basedOn w:val="Normal"/>
    <w:link w:val="TitleChar"/>
    <w:qFormat/>
    <w:rsid w:val="006E4837"/>
    <w:pPr>
      <w:spacing w:before="240" w:after="840"/>
      <w:jc w:val="right"/>
      <w:outlineLvl w:val="0"/>
    </w:pPr>
    <w:rPr>
      <w:rFonts w:ascii="Arial" w:hAnsi="Arial" w:cs="Arial"/>
      <w:b/>
      <w:bCs/>
      <w:kern w:val="28"/>
      <w:sz w:val="48"/>
      <w:szCs w:val="32"/>
    </w:rPr>
  </w:style>
  <w:style w:type="character" w:customStyle="1" w:styleId="TitleChar">
    <w:name w:val="Title Char"/>
    <w:basedOn w:val="DefaultParagraphFont"/>
    <w:link w:val="Title"/>
    <w:rsid w:val="006E4837"/>
    <w:rPr>
      <w:rFonts w:ascii="Arial" w:hAnsi="Arial" w:cs="Arial"/>
      <w:b/>
      <w:bCs/>
      <w:kern w:val="28"/>
      <w:sz w:val="48"/>
      <w:szCs w:val="32"/>
    </w:rPr>
  </w:style>
  <w:style w:type="table" w:styleId="TableGrid">
    <w:name w:val="Table Grid"/>
    <w:basedOn w:val="TableNormal"/>
    <w:uiPriority w:val="59"/>
    <w:rsid w:val="008F32A4"/>
    <w:rPr>
      <w:rFonts w:ascii="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annotation text" w:uiPriority="99"/>
    <w:lsdException w:name="caption" w:semiHidden="1" w:unhideWhenUsed="1" w:qFormat="1"/>
    <w:lsdException w:name="annotation reference" w:uiPriority="99"/>
    <w:lsdException w:name="toa heading" w:semiHidden="1" w:unhideWhenUsed="1"/>
    <w:lsdException w:name="List Bullet" w:uiPriority="99"/>
    <w:lsdException w:name="List Number" w:uiPriority="99"/>
    <w:lsdException w:name="List Bullet 2" w:uiPriority="99"/>
    <w:lsdException w:name="Title" w:qFormat="1"/>
    <w:lsdException w:name="Body Tex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0CD5"/>
    <w:rPr>
      <w:rFonts w:ascii="Times New Roman" w:hAnsi="Times New Roman"/>
      <w:szCs w:val="22"/>
    </w:rPr>
  </w:style>
  <w:style w:type="paragraph" w:styleId="Heading1">
    <w:name w:val="heading 1"/>
    <w:basedOn w:val="Normal"/>
    <w:next w:val="BodyText"/>
    <w:qFormat/>
    <w:rsid w:val="001A4212"/>
    <w:pPr>
      <w:keepNext/>
      <w:tabs>
        <w:tab w:val="center" w:pos="-1699"/>
        <w:tab w:val="left" w:pos="0"/>
      </w:tabs>
      <w:spacing w:before="240" w:after="240"/>
      <w:outlineLvl w:val="0"/>
    </w:pPr>
    <w:rPr>
      <w:rFonts w:ascii="Arial Black" w:hAnsi="Arial Black"/>
      <w:kern w:val="28"/>
      <w:sz w:val="28"/>
      <w:szCs w:val="28"/>
    </w:rPr>
  </w:style>
  <w:style w:type="paragraph" w:styleId="Heading2">
    <w:name w:val="heading 2"/>
    <w:basedOn w:val="Normal"/>
    <w:next w:val="BodyText"/>
    <w:qFormat/>
    <w:rsid w:val="00B90993"/>
    <w:pPr>
      <w:keepNext/>
      <w:pBdr>
        <w:top w:val="single" w:sz="6" w:space="6" w:color="auto"/>
      </w:pBdr>
      <w:spacing w:before="200" w:after="80"/>
      <w:outlineLvl w:val="1"/>
    </w:pPr>
    <w:rPr>
      <w:rFonts w:ascii="Arial Black" w:hAnsi="Arial Black"/>
      <w:caps/>
      <w:sz w:val="26"/>
      <w:szCs w:val="26"/>
    </w:rPr>
  </w:style>
  <w:style w:type="paragraph" w:styleId="Heading3">
    <w:name w:val="heading 3"/>
    <w:basedOn w:val="Normal"/>
    <w:next w:val="Normal"/>
    <w:qFormat/>
    <w:rsid w:val="00B90993"/>
    <w:pPr>
      <w:keepNext/>
      <w:tabs>
        <w:tab w:val="right" w:pos="-259"/>
      </w:tabs>
      <w:spacing w:before="200" w:after="80"/>
      <w:outlineLvl w:val="2"/>
    </w:pPr>
    <w:rPr>
      <w:rFonts w:ascii="Arial Black" w:hAnsi="Arial Black"/>
      <w:iCs/>
    </w:rPr>
  </w:style>
  <w:style w:type="paragraph" w:styleId="Heading4">
    <w:name w:val="heading 4"/>
    <w:basedOn w:val="Normal"/>
    <w:next w:val="BodyText"/>
    <w:qFormat/>
    <w:rsid w:val="00B90993"/>
    <w:pPr>
      <w:keepNext/>
      <w:spacing w:before="200" w:after="80"/>
      <w:outlineLvl w:val="3"/>
    </w:pPr>
    <w:rPr>
      <w:rFonts w:ascii="Arial Black" w:hAnsi="Arial Black"/>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47580D"/>
    <w:rPr>
      <w:szCs w:val="24"/>
    </w:rPr>
  </w:style>
  <w:style w:type="paragraph" w:styleId="TOC2">
    <w:name w:val="toc 2"/>
    <w:basedOn w:val="Normal"/>
    <w:next w:val="Normal"/>
    <w:autoRedefine/>
    <w:semiHidden/>
    <w:unhideWhenUsed/>
    <w:rsid w:val="001A4212"/>
    <w:pPr>
      <w:tabs>
        <w:tab w:val="right" w:leader="dot" w:pos="6480"/>
      </w:tabs>
      <w:spacing w:before="160"/>
      <w:ind w:left="1080" w:right="720" w:hanging="540"/>
    </w:pPr>
  </w:style>
  <w:style w:type="paragraph" w:styleId="TOC4">
    <w:name w:val="toc 4"/>
    <w:basedOn w:val="TOC3"/>
    <w:next w:val="Normal"/>
    <w:autoRedefine/>
    <w:semiHidden/>
    <w:unhideWhenUsed/>
    <w:rsid w:val="001A4212"/>
    <w:pPr>
      <w:ind w:firstLine="0"/>
    </w:pPr>
    <w:rPr>
      <w:i/>
      <w:iCs/>
    </w:rPr>
  </w:style>
  <w:style w:type="paragraph" w:styleId="TOC3">
    <w:name w:val="toc 3"/>
    <w:basedOn w:val="Normal"/>
    <w:next w:val="Normal"/>
    <w:autoRedefine/>
    <w:semiHidden/>
    <w:unhideWhenUsed/>
    <w:rsid w:val="001A4212"/>
    <w:pPr>
      <w:tabs>
        <w:tab w:val="right" w:leader="dot" w:pos="6480"/>
      </w:tabs>
      <w:spacing w:before="80"/>
      <w:ind w:left="1800" w:right="720" w:hanging="720"/>
    </w:pPr>
  </w:style>
  <w:style w:type="paragraph" w:styleId="TOC1">
    <w:name w:val="toc 1"/>
    <w:basedOn w:val="Normal"/>
    <w:next w:val="Normal"/>
    <w:semiHidden/>
    <w:unhideWhenUsed/>
    <w:rsid w:val="001A4212"/>
    <w:pPr>
      <w:tabs>
        <w:tab w:val="right" w:pos="6480"/>
      </w:tabs>
      <w:spacing w:before="320"/>
      <w:ind w:left="540" w:right="720" w:hanging="540"/>
    </w:pPr>
    <w:rPr>
      <w:rFonts w:ascii="Arial Black" w:hAnsi="Arial Black"/>
    </w:rPr>
  </w:style>
  <w:style w:type="character" w:styleId="LineNumber">
    <w:name w:val="line number"/>
    <w:basedOn w:val="DefaultParagraphFont"/>
    <w:semiHidden/>
    <w:rsid w:val="001A4212"/>
  </w:style>
  <w:style w:type="paragraph" w:styleId="Footer">
    <w:name w:val="footer"/>
    <w:basedOn w:val="Normal"/>
    <w:next w:val="Normal"/>
    <w:rsid w:val="001A4212"/>
    <w:rPr>
      <w:szCs w:val="20"/>
    </w:rPr>
  </w:style>
  <w:style w:type="paragraph" w:styleId="Header">
    <w:name w:val="header"/>
    <w:basedOn w:val="Normal"/>
    <w:next w:val="Normal"/>
    <w:rsid w:val="001A4212"/>
    <w:rPr>
      <w:iCs/>
      <w:szCs w:val="18"/>
    </w:rPr>
  </w:style>
  <w:style w:type="character" w:styleId="FootnoteReference">
    <w:name w:val="footnote reference"/>
    <w:semiHidden/>
    <w:rsid w:val="00351250"/>
    <w:rPr>
      <w:position w:val="6"/>
      <w:sz w:val="18"/>
      <w:szCs w:val="16"/>
    </w:rPr>
  </w:style>
  <w:style w:type="paragraph" w:styleId="FootnoteText">
    <w:name w:val="footnote text"/>
    <w:basedOn w:val="Normal"/>
    <w:semiHidden/>
    <w:rsid w:val="00351250"/>
    <w:pPr>
      <w:ind w:left="216" w:hanging="216"/>
    </w:pPr>
    <w:rPr>
      <w:sz w:val="18"/>
      <w:szCs w:val="18"/>
    </w:rPr>
  </w:style>
  <w:style w:type="character" w:styleId="PageNumber">
    <w:name w:val="page number"/>
    <w:rsid w:val="001A4212"/>
    <w:rPr>
      <w:rFonts w:ascii="Arial Black" w:hAnsi="Arial Black"/>
      <w:sz w:val="20"/>
      <w:szCs w:val="20"/>
    </w:rPr>
  </w:style>
  <w:style w:type="paragraph" w:styleId="Closing">
    <w:name w:val="Closing"/>
    <w:basedOn w:val="Normal"/>
    <w:link w:val="ClosingChar"/>
    <w:rsid w:val="004B1939"/>
    <w:pPr>
      <w:spacing w:after="720"/>
      <w:ind w:left="4680"/>
    </w:pPr>
  </w:style>
  <w:style w:type="character" w:customStyle="1" w:styleId="ClosingChar">
    <w:name w:val="Closing Char"/>
    <w:link w:val="Closing"/>
    <w:rsid w:val="004B1939"/>
    <w:rPr>
      <w:rFonts w:ascii="Times New Roman" w:hAnsi="Times New Roman"/>
      <w:sz w:val="24"/>
      <w:szCs w:val="22"/>
    </w:rPr>
  </w:style>
  <w:style w:type="paragraph" w:styleId="Salutation">
    <w:name w:val="Salutation"/>
    <w:basedOn w:val="Normal"/>
    <w:next w:val="Normal"/>
    <w:rsid w:val="0047580D"/>
    <w:pPr>
      <w:tabs>
        <w:tab w:val="left" w:pos="4680"/>
      </w:tabs>
      <w:spacing w:before="240" w:after="240"/>
    </w:pPr>
    <w:rPr>
      <w:szCs w:val="24"/>
    </w:rPr>
  </w:style>
  <w:style w:type="paragraph" w:styleId="Date">
    <w:name w:val="Date"/>
    <w:basedOn w:val="Normal"/>
    <w:next w:val="Normal"/>
    <w:link w:val="DateChar"/>
    <w:rsid w:val="002B556B"/>
    <w:pPr>
      <w:spacing w:before="1440" w:after="960"/>
      <w:ind w:left="4680"/>
    </w:pPr>
  </w:style>
  <w:style w:type="character" w:customStyle="1" w:styleId="DateChar">
    <w:name w:val="Date Char"/>
    <w:link w:val="Date"/>
    <w:rsid w:val="002B556B"/>
    <w:rPr>
      <w:rFonts w:ascii="Times New Roman" w:hAnsi="Times New Roman"/>
      <w:sz w:val="24"/>
      <w:szCs w:val="22"/>
    </w:rPr>
  </w:style>
  <w:style w:type="paragraph" w:customStyle="1" w:styleId="toc0">
    <w:name w:val="toc 0"/>
    <w:basedOn w:val="Normal"/>
    <w:semiHidden/>
    <w:unhideWhenUsed/>
    <w:rsid w:val="001A4212"/>
    <w:pPr>
      <w:pBdr>
        <w:bottom w:val="single" w:sz="2" w:space="1" w:color="auto"/>
      </w:pBdr>
      <w:spacing w:after="240"/>
      <w:jc w:val="center"/>
    </w:pPr>
    <w:rPr>
      <w:rFonts w:ascii="Arial Black" w:hAnsi="Arial Black"/>
      <w:position w:val="72"/>
      <w:sz w:val="56"/>
      <w:szCs w:val="56"/>
    </w:rPr>
  </w:style>
  <w:style w:type="paragraph" w:styleId="ListBullet3">
    <w:name w:val="List Bullet 3"/>
    <w:basedOn w:val="Normal"/>
    <w:unhideWhenUsed/>
    <w:rsid w:val="0047580D"/>
    <w:pPr>
      <w:numPr>
        <w:numId w:val="7"/>
      </w:numPr>
      <w:tabs>
        <w:tab w:val="clear" w:pos="1080"/>
        <w:tab w:val="left" w:pos="1800"/>
      </w:tabs>
      <w:spacing w:after="120"/>
      <w:ind w:left="1800"/>
    </w:pPr>
  </w:style>
  <w:style w:type="paragraph" w:styleId="ListBullet">
    <w:name w:val="List Bullet"/>
    <w:basedOn w:val="Normal"/>
    <w:uiPriority w:val="99"/>
    <w:unhideWhenUsed/>
    <w:rsid w:val="00893B47"/>
    <w:pPr>
      <w:numPr>
        <w:ilvl w:val="1"/>
        <w:numId w:val="15"/>
      </w:numPr>
      <w:tabs>
        <w:tab w:val="left" w:pos="1080"/>
      </w:tabs>
      <w:spacing w:after="120"/>
      <w:ind w:left="1080"/>
      <w:contextualSpacing/>
    </w:pPr>
  </w:style>
  <w:style w:type="paragraph" w:styleId="ListBullet2">
    <w:name w:val="List Bullet 2"/>
    <w:basedOn w:val="Normal"/>
    <w:uiPriority w:val="99"/>
    <w:unhideWhenUsed/>
    <w:rsid w:val="0047580D"/>
    <w:pPr>
      <w:numPr>
        <w:numId w:val="6"/>
      </w:numPr>
      <w:tabs>
        <w:tab w:val="clear" w:pos="720"/>
      </w:tabs>
      <w:spacing w:after="120"/>
      <w:ind w:left="1440"/>
    </w:pPr>
  </w:style>
  <w:style w:type="paragraph" w:styleId="ListNumber">
    <w:name w:val="List Number"/>
    <w:basedOn w:val="Normal"/>
    <w:uiPriority w:val="99"/>
    <w:unhideWhenUsed/>
    <w:rsid w:val="008936A2"/>
    <w:pPr>
      <w:numPr>
        <w:numId w:val="17"/>
      </w:numPr>
      <w:spacing w:after="120"/>
    </w:pPr>
  </w:style>
  <w:style w:type="paragraph" w:styleId="ListContinue">
    <w:name w:val="List Continue"/>
    <w:basedOn w:val="Normal"/>
    <w:rsid w:val="00893B47"/>
    <w:pPr>
      <w:spacing w:after="160"/>
      <w:ind w:left="1440" w:hanging="360"/>
    </w:pPr>
    <w:rPr>
      <w:rFonts w:eastAsia="MS Mincho"/>
      <w:szCs w:val="24"/>
    </w:rPr>
  </w:style>
  <w:style w:type="paragraph" w:styleId="BlockText">
    <w:name w:val="Block Text"/>
    <w:basedOn w:val="Normal"/>
    <w:rsid w:val="0047580D"/>
    <w:pPr>
      <w:spacing w:after="120"/>
      <w:ind w:left="1440" w:right="1440"/>
    </w:pPr>
  </w:style>
  <w:style w:type="paragraph" w:customStyle="1" w:styleId="Figure">
    <w:name w:val="Figure"/>
    <w:basedOn w:val="Normal"/>
    <w:rsid w:val="001A4212"/>
    <w:pPr>
      <w:pBdr>
        <w:top w:val="single" w:sz="12" w:space="9" w:color="auto"/>
        <w:left w:val="single" w:sz="12" w:space="6" w:color="auto"/>
        <w:bottom w:val="single" w:sz="12" w:space="9" w:color="auto"/>
        <w:right w:val="single" w:sz="12" w:space="4" w:color="auto"/>
      </w:pBdr>
      <w:ind w:left="180" w:right="180"/>
      <w:jc w:val="center"/>
    </w:pPr>
  </w:style>
  <w:style w:type="paragraph" w:styleId="Signature">
    <w:name w:val="Signature"/>
    <w:basedOn w:val="Normal"/>
    <w:link w:val="SignatureChar"/>
    <w:rsid w:val="0047580D"/>
    <w:pPr>
      <w:ind w:left="4680"/>
    </w:pPr>
  </w:style>
  <w:style w:type="character" w:customStyle="1" w:styleId="SignatureChar">
    <w:name w:val="Signature Char"/>
    <w:link w:val="Signature"/>
    <w:rsid w:val="0047580D"/>
    <w:rPr>
      <w:rFonts w:ascii="Times New Roman" w:hAnsi="Times New Roman"/>
      <w:sz w:val="24"/>
      <w:szCs w:val="22"/>
    </w:rPr>
  </w:style>
  <w:style w:type="paragraph" w:customStyle="1" w:styleId="FigureNoBox">
    <w:name w:val="FigureNoBox"/>
    <w:basedOn w:val="Normal"/>
    <w:rsid w:val="001A4212"/>
    <w:pPr>
      <w:jc w:val="center"/>
    </w:pPr>
  </w:style>
  <w:style w:type="paragraph" w:customStyle="1" w:styleId="equation">
    <w:name w:val="equation"/>
    <w:basedOn w:val="Normal"/>
    <w:rsid w:val="001A4212"/>
    <w:pPr>
      <w:tabs>
        <w:tab w:val="center" w:pos="3240"/>
        <w:tab w:val="right" w:pos="6480"/>
      </w:tabs>
      <w:spacing w:after="160" w:line="400" w:lineRule="atLeast"/>
      <w:ind w:firstLine="720"/>
    </w:pPr>
  </w:style>
  <w:style w:type="paragraph" w:styleId="BodyText">
    <w:name w:val="Body Text"/>
    <w:basedOn w:val="Normal"/>
    <w:link w:val="BodyTextChar"/>
    <w:uiPriority w:val="99"/>
    <w:rsid w:val="004B1939"/>
    <w:pPr>
      <w:spacing w:after="160" w:line="320" w:lineRule="exact"/>
    </w:pPr>
  </w:style>
  <w:style w:type="character" w:customStyle="1" w:styleId="BodyTextChar">
    <w:name w:val="Body Text Char"/>
    <w:link w:val="BodyText"/>
    <w:uiPriority w:val="99"/>
    <w:rsid w:val="004B1939"/>
    <w:rPr>
      <w:rFonts w:ascii="Times New Roman" w:hAnsi="Times New Roman"/>
      <w:sz w:val="24"/>
      <w:szCs w:val="22"/>
    </w:rPr>
  </w:style>
  <w:style w:type="paragraph" w:styleId="Bibliography">
    <w:name w:val="Bibliography"/>
    <w:basedOn w:val="Normal"/>
    <w:next w:val="Normal"/>
    <w:uiPriority w:val="37"/>
    <w:rsid w:val="004B0CD5"/>
    <w:pPr>
      <w:keepLines/>
      <w:spacing w:after="160"/>
      <w:ind w:left="720" w:hanging="720"/>
    </w:pPr>
  </w:style>
  <w:style w:type="paragraph" w:customStyle="1" w:styleId="TableCaption">
    <w:name w:val="TableCaption"/>
    <w:basedOn w:val="Caption"/>
    <w:qFormat/>
    <w:rsid w:val="00351250"/>
  </w:style>
  <w:style w:type="paragraph" w:styleId="Caption">
    <w:name w:val="caption"/>
    <w:basedOn w:val="Normal"/>
    <w:next w:val="Normal"/>
    <w:unhideWhenUsed/>
    <w:qFormat/>
    <w:rsid w:val="00B90993"/>
    <w:pPr>
      <w:keepNext/>
      <w:keepLines/>
      <w:spacing w:before="320" w:after="120"/>
      <w:ind w:left="1296" w:hanging="1296"/>
    </w:pPr>
    <w:rPr>
      <w:rFonts w:ascii="Arial Black" w:hAnsi="Arial Black"/>
      <w:bCs/>
      <w:sz w:val="20"/>
      <w:szCs w:val="20"/>
    </w:rPr>
  </w:style>
  <w:style w:type="paragraph" w:customStyle="1" w:styleId="Source">
    <w:name w:val="Source"/>
    <w:basedOn w:val="Normal"/>
    <w:rsid w:val="00351250"/>
    <w:pPr>
      <w:keepLines/>
      <w:spacing w:before="120" w:after="360"/>
      <w:ind w:left="216" w:hanging="216"/>
    </w:pPr>
    <w:rPr>
      <w:sz w:val="18"/>
      <w:szCs w:val="18"/>
    </w:rPr>
  </w:style>
  <w:style w:type="paragraph" w:customStyle="1" w:styleId="Source2">
    <w:name w:val="Source2"/>
    <w:basedOn w:val="Normal"/>
    <w:qFormat/>
    <w:rsid w:val="00351250"/>
    <w:pPr>
      <w:spacing w:before="120" w:after="360"/>
      <w:ind w:left="720" w:hanging="720"/>
    </w:pPr>
    <w:rPr>
      <w:sz w:val="18"/>
      <w:szCs w:val="18"/>
    </w:rPr>
  </w:style>
  <w:style w:type="paragraph" w:customStyle="1" w:styleId="Enclosure">
    <w:name w:val="Enclosure"/>
    <w:basedOn w:val="Salutation"/>
    <w:qFormat/>
    <w:rsid w:val="004B0CD5"/>
  </w:style>
  <w:style w:type="paragraph" w:customStyle="1" w:styleId="FigureCaption">
    <w:name w:val="FigureCaption"/>
    <w:basedOn w:val="Caption"/>
    <w:qFormat/>
    <w:rsid w:val="004B0CD5"/>
  </w:style>
  <w:style w:type="paragraph" w:customStyle="1" w:styleId="Copy">
    <w:name w:val="Copy"/>
    <w:basedOn w:val="EnvelopeAddress"/>
    <w:qFormat/>
    <w:rsid w:val="004B0CD5"/>
    <w:pPr>
      <w:ind w:left="360" w:hanging="360"/>
    </w:pPr>
  </w:style>
  <w:style w:type="paragraph" w:customStyle="1" w:styleId="TableHeaders">
    <w:name w:val="Table Headers"/>
    <w:basedOn w:val="Normal"/>
    <w:rsid w:val="00F06437"/>
    <w:pPr>
      <w:keepNext/>
      <w:spacing w:before="80" w:after="80" w:line="240" w:lineRule="exact"/>
      <w:jc w:val="center"/>
    </w:pPr>
    <w:rPr>
      <w:rFonts w:ascii="Arial" w:hAnsi="Arial"/>
      <w:b/>
      <w:snapToGrid w:val="0"/>
      <w:sz w:val="20"/>
      <w:szCs w:val="20"/>
    </w:rPr>
  </w:style>
  <w:style w:type="paragraph" w:customStyle="1" w:styleId="TableText">
    <w:name w:val="Table Text"/>
    <w:basedOn w:val="Normal"/>
    <w:rsid w:val="00F06437"/>
    <w:pPr>
      <w:keepNext/>
      <w:spacing w:before="80" w:after="80"/>
    </w:pPr>
    <w:rPr>
      <w:rFonts w:ascii="Arial" w:hAnsi="Arial"/>
      <w:sz w:val="20"/>
    </w:rPr>
  </w:style>
  <w:style w:type="paragraph" w:styleId="NormalWeb">
    <w:name w:val="Normal (Web)"/>
    <w:basedOn w:val="Normal"/>
    <w:uiPriority w:val="99"/>
    <w:unhideWhenUsed/>
    <w:rsid w:val="00813404"/>
    <w:pPr>
      <w:spacing w:before="100" w:beforeAutospacing="1" w:after="100" w:afterAutospacing="1"/>
    </w:pPr>
    <w:rPr>
      <w:szCs w:val="24"/>
    </w:rPr>
  </w:style>
  <w:style w:type="paragraph" w:styleId="BalloonText">
    <w:name w:val="Balloon Text"/>
    <w:basedOn w:val="Normal"/>
    <w:link w:val="BalloonTextChar"/>
    <w:rsid w:val="003D74E1"/>
    <w:rPr>
      <w:rFonts w:ascii="Tahoma" w:hAnsi="Tahoma" w:cs="Tahoma"/>
      <w:sz w:val="16"/>
      <w:szCs w:val="16"/>
    </w:rPr>
  </w:style>
  <w:style w:type="character" w:customStyle="1" w:styleId="BalloonTextChar">
    <w:name w:val="Balloon Text Char"/>
    <w:basedOn w:val="DefaultParagraphFont"/>
    <w:link w:val="BalloonText"/>
    <w:rsid w:val="003D74E1"/>
    <w:rPr>
      <w:rFonts w:ascii="Tahoma" w:hAnsi="Tahoma" w:cs="Tahoma"/>
      <w:sz w:val="16"/>
      <w:szCs w:val="16"/>
    </w:rPr>
  </w:style>
  <w:style w:type="paragraph" w:styleId="ListParagraph">
    <w:name w:val="List Paragraph"/>
    <w:basedOn w:val="Normal"/>
    <w:uiPriority w:val="34"/>
    <w:qFormat/>
    <w:rsid w:val="00BB256C"/>
    <w:pPr>
      <w:ind w:left="720"/>
      <w:contextualSpacing/>
    </w:pPr>
  </w:style>
  <w:style w:type="character" w:styleId="CommentReference">
    <w:name w:val="annotation reference"/>
    <w:basedOn w:val="DefaultParagraphFont"/>
    <w:uiPriority w:val="99"/>
    <w:unhideWhenUsed/>
    <w:rsid w:val="00BB256C"/>
    <w:rPr>
      <w:sz w:val="16"/>
      <w:szCs w:val="16"/>
    </w:rPr>
  </w:style>
  <w:style w:type="paragraph" w:styleId="CommentText">
    <w:name w:val="annotation text"/>
    <w:basedOn w:val="Normal"/>
    <w:link w:val="CommentTextChar"/>
    <w:uiPriority w:val="99"/>
    <w:unhideWhenUsed/>
    <w:rsid w:val="00BB256C"/>
    <w:pPr>
      <w:spacing w:before="120" w:after="120"/>
    </w:pPr>
    <w:rPr>
      <w:rFonts w:ascii="Calibri" w:hAnsi="Calibri" w:cs="Arial"/>
      <w:sz w:val="20"/>
      <w:szCs w:val="20"/>
      <w:lang w:bidi="en-US"/>
    </w:rPr>
  </w:style>
  <w:style w:type="character" w:customStyle="1" w:styleId="CommentTextChar">
    <w:name w:val="Comment Text Char"/>
    <w:basedOn w:val="DefaultParagraphFont"/>
    <w:link w:val="CommentText"/>
    <w:uiPriority w:val="99"/>
    <w:rsid w:val="00BB256C"/>
    <w:rPr>
      <w:rFonts w:ascii="Calibri" w:hAnsi="Calibri" w:cs="Arial"/>
      <w:lang w:bidi="en-US"/>
    </w:rPr>
  </w:style>
  <w:style w:type="paragraph" w:styleId="CommentSubject">
    <w:name w:val="annotation subject"/>
    <w:basedOn w:val="CommentText"/>
    <w:next w:val="CommentText"/>
    <w:link w:val="CommentSubjectChar"/>
    <w:rsid w:val="00916DA5"/>
    <w:pPr>
      <w:spacing w:before="0" w:after="0"/>
    </w:pPr>
    <w:rPr>
      <w:rFonts w:ascii="Times New Roman" w:hAnsi="Times New Roman" w:cs="Times New Roman"/>
      <w:b/>
      <w:bCs/>
      <w:lang w:bidi="ar-SA"/>
    </w:rPr>
  </w:style>
  <w:style w:type="character" w:customStyle="1" w:styleId="CommentSubjectChar">
    <w:name w:val="Comment Subject Char"/>
    <w:basedOn w:val="CommentTextChar"/>
    <w:link w:val="CommentSubject"/>
    <w:rsid w:val="00916DA5"/>
    <w:rPr>
      <w:rFonts w:ascii="Times New Roman" w:hAnsi="Times New Roman" w:cs="Arial"/>
      <w:b/>
      <w:bCs/>
      <w:lang w:bidi="en-US"/>
    </w:rPr>
  </w:style>
  <w:style w:type="paragraph" w:styleId="Title">
    <w:name w:val="Title"/>
    <w:basedOn w:val="Normal"/>
    <w:link w:val="TitleChar"/>
    <w:qFormat/>
    <w:rsid w:val="006E4837"/>
    <w:pPr>
      <w:spacing w:before="240" w:after="840"/>
      <w:jc w:val="right"/>
      <w:outlineLvl w:val="0"/>
    </w:pPr>
    <w:rPr>
      <w:rFonts w:ascii="Arial" w:hAnsi="Arial" w:cs="Arial"/>
      <w:b/>
      <w:bCs/>
      <w:kern w:val="28"/>
      <w:sz w:val="48"/>
      <w:szCs w:val="32"/>
    </w:rPr>
  </w:style>
  <w:style w:type="character" w:customStyle="1" w:styleId="TitleChar">
    <w:name w:val="Title Char"/>
    <w:basedOn w:val="DefaultParagraphFont"/>
    <w:link w:val="Title"/>
    <w:rsid w:val="006E4837"/>
    <w:rPr>
      <w:rFonts w:ascii="Arial" w:hAnsi="Arial" w:cs="Arial"/>
      <w:b/>
      <w:bCs/>
      <w:kern w:val="28"/>
      <w:sz w:val="4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0796">
      <w:bodyDiv w:val="1"/>
      <w:marLeft w:val="0"/>
      <w:marRight w:val="0"/>
      <w:marTop w:val="0"/>
      <w:marBottom w:val="0"/>
      <w:divBdr>
        <w:top w:val="none" w:sz="0" w:space="0" w:color="auto"/>
        <w:left w:val="none" w:sz="0" w:space="0" w:color="auto"/>
        <w:bottom w:val="none" w:sz="0" w:space="0" w:color="auto"/>
        <w:right w:val="none" w:sz="0" w:space="0" w:color="auto"/>
      </w:divBdr>
    </w:div>
    <w:div w:id="744567077">
      <w:bodyDiv w:val="1"/>
      <w:marLeft w:val="0"/>
      <w:marRight w:val="0"/>
      <w:marTop w:val="0"/>
      <w:marBottom w:val="0"/>
      <w:divBdr>
        <w:top w:val="none" w:sz="0" w:space="0" w:color="auto"/>
        <w:left w:val="none" w:sz="0" w:space="0" w:color="auto"/>
        <w:bottom w:val="none" w:sz="0" w:space="0" w:color="auto"/>
        <w:right w:val="none" w:sz="0" w:space="0" w:color="auto"/>
      </w:divBdr>
    </w:div>
    <w:div w:id="933826750">
      <w:bodyDiv w:val="1"/>
      <w:marLeft w:val="0"/>
      <w:marRight w:val="0"/>
      <w:marTop w:val="0"/>
      <w:marBottom w:val="0"/>
      <w:divBdr>
        <w:top w:val="none" w:sz="0" w:space="0" w:color="auto"/>
        <w:left w:val="none" w:sz="0" w:space="0" w:color="auto"/>
        <w:bottom w:val="none" w:sz="0" w:space="0" w:color="auto"/>
        <w:right w:val="none" w:sz="0" w:space="0" w:color="auto"/>
      </w:divBdr>
    </w:div>
    <w:div w:id="967469124">
      <w:bodyDiv w:val="1"/>
      <w:marLeft w:val="0"/>
      <w:marRight w:val="0"/>
      <w:marTop w:val="0"/>
      <w:marBottom w:val="0"/>
      <w:divBdr>
        <w:top w:val="none" w:sz="0" w:space="0" w:color="auto"/>
        <w:left w:val="none" w:sz="0" w:space="0" w:color="auto"/>
        <w:bottom w:val="none" w:sz="0" w:space="0" w:color="auto"/>
        <w:right w:val="none" w:sz="0" w:space="0" w:color="auto"/>
      </w:divBdr>
    </w:div>
    <w:div w:id="1133477353">
      <w:bodyDiv w:val="1"/>
      <w:marLeft w:val="0"/>
      <w:marRight w:val="0"/>
      <w:marTop w:val="0"/>
      <w:marBottom w:val="0"/>
      <w:divBdr>
        <w:top w:val="none" w:sz="0" w:space="0" w:color="auto"/>
        <w:left w:val="none" w:sz="0" w:space="0" w:color="auto"/>
        <w:bottom w:val="none" w:sz="0" w:space="0" w:color="auto"/>
        <w:right w:val="none" w:sz="0" w:space="0" w:color="auto"/>
      </w:divBdr>
    </w:div>
    <w:div w:id="1133672564">
      <w:bodyDiv w:val="1"/>
      <w:marLeft w:val="0"/>
      <w:marRight w:val="0"/>
      <w:marTop w:val="0"/>
      <w:marBottom w:val="0"/>
      <w:divBdr>
        <w:top w:val="none" w:sz="0" w:space="0" w:color="auto"/>
        <w:left w:val="none" w:sz="0" w:space="0" w:color="auto"/>
        <w:bottom w:val="none" w:sz="0" w:space="0" w:color="auto"/>
        <w:right w:val="none" w:sz="0" w:space="0" w:color="auto"/>
      </w:divBdr>
    </w:div>
    <w:div w:id="1632443957">
      <w:bodyDiv w:val="1"/>
      <w:marLeft w:val="0"/>
      <w:marRight w:val="0"/>
      <w:marTop w:val="0"/>
      <w:marBottom w:val="0"/>
      <w:divBdr>
        <w:top w:val="none" w:sz="0" w:space="0" w:color="auto"/>
        <w:left w:val="none" w:sz="0" w:space="0" w:color="auto"/>
        <w:bottom w:val="none" w:sz="0" w:space="0" w:color="auto"/>
        <w:right w:val="none" w:sz="0" w:space="0" w:color="auto"/>
      </w:divBdr>
    </w:div>
    <w:div w:id="213274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275F1-98ED-4B2B-9CE0-7C52C2203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Expert Panel Recommendations Summary</dc:title>
  <dc:subject>Antipsychotic Medication Quality Measure (AP QM) for Nursing Homes (NH)</dc:subject>
  <dc:creator/>
  <cp:keywords>Antipsychotic Medication Quality Measure (AP QM) for Nursing Homes (NH)</cp:keywords>
  <cp:lastModifiedBy/>
  <cp:revision>1</cp:revision>
  <cp:lastPrinted>2004-05-26T15:42:00Z</cp:lastPrinted>
  <dcterms:created xsi:type="dcterms:W3CDTF">2012-11-12T21:12:00Z</dcterms:created>
  <dcterms:modified xsi:type="dcterms:W3CDTF">2013-02-06T14:13:00Z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(U.S.)</vt:lpwstr>
  </property>
  <property fmtid="{D5CDD505-2E9C-101B-9397-08002B2CF9AE}" pid="3" name="_NewReviewCycle">
    <vt:lpwstr/>
  </property>
</Properties>
</file>